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99133" w14:textId="1794403A" w:rsidR="009168D7" w:rsidRPr="00CE0424" w:rsidRDefault="009168D7" w:rsidP="009168D7">
      <w:pPr>
        <w:pStyle w:val="3GPPHeader"/>
        <w:spacing w:after="60"/>
        <w:rPr>
          <w:sz w:val="32"/>
          <w:szCs w:val="32"/>
          <w:highlight w:val="yellow"/>
        </w:rPr>
      </w:pPr>
      <w:r w:rsidRPr="00CE0424">
        <w:t>3GPP TSG-RAN WG</w:t>
      </w:r>
      <w:r>
        <w:t>1</w:t>
      </w:r>
      <w:r w:rsidRPr="00CE0424">
        <w:t xml:space="preserve"> </w:t>
      </w:r>
      <w:r>
        <w:t xml:space="preserve">Meeting </w:t>
      </w:r>
      <w:r w:rsidRPr="00CE0424">
        <w:t>#</w:t>
      </w:r>
      <w:r>
        <w:t>101-e</w:t>
      </w:r>
      <w:r w:rsidRPr="00CE0424">
        <w:tab/>
      </w:r>
      <w:proofErr w:type="spellStart"/>
      <w:r w:rsidRPr="0027357D">
        <w:rPr>
          <w:sz w:val="32"/>
          <w:szCs w:val="32"/>
        </w:rPr>
        <w:t>Tdoc</w:t>
      </w:r>
      <w:proofErr w:type="spellEnd"/>
      <w:r w:rsidRPr="0027357D">
        <w:rPr>
          <w:sz w:val="32"/>
          <w:szCs w:val="32"/>
        </w:rPr>
        <w:t xml:space="preserve"> </w:t>
      </w:r>
      <w:r w:rsidRPr="00290A61">
        <w:rPr>
          <w:sz w:val="32"/>
          <w:szCs w:val="32"/>
        </w:rPr>
        <w:t>R1-20</w:t>
      </w:r>
      <w:r w:rsidR="00E96E71" w:rsidRPr="00290A61">
        <w:rPr>
          <w:sz w:val="32"/>
          <w:szCs w:val="32"/>
        </w:rPr>
        <w:t>03844</w:t>
      </w:r>
    </w:p>
    <w:p w14:paraId="76D43B79" w14:textId="77777777" w:rsidR="009168D7" w:rsidRPr="00CE0424" w:rsidRDefault="009168D7" w:rsidP="009168D7">
      <w:pPr>
        <w:pStyle w:val="3GPPHeader"/>
      </w:pPr>
      <w:r>
        <w:t>e-Meeting</w:t>
      </w:r>
      <w:r w:rsidRPr="009027D4">
        <w:t>, 2</w:t>
      </w:r>
      <w:r>
        <w:t>5</w:t>
      </w:r>
      <w:r w:rsidRPr="009B02A0">
        <w:rPr>
          <w:vertAlign w:val="superscript"/>
        </w:rPr>
        <w:t>th</w:t>
      </w:r>
      <w:r>
        <w:t xml:space="preserve"> May – 5</w:t>
      </w:r>
      <w:r w:rsidRPr="009B02A0">
        <w:rPr>
          <w:vertAlign w:val="superscript"/>
        </w:rPr>
        <w:t>th</w:t>
      </w:r>
      <w:r>
        <w:t xml:space="preserve"> </w:t>
      </w:r>
      <w:proofErr w:type="gramStart"/>
      <w:r>
        <w:t>June,</w:t>
      </w:r>
      <w:proofErr w:type="gramEnd"/>
      <w:r>
        <w:t xml:space="preserve"> </w:t>
      </w:r>
      <w:r w:rsidRPr="009027D4">
        <w:t>2020</w:t>
      </w:r>
    </w:p>
    <w:p w14:paraId="5CE5E37F" w14:textId="77777777" w:rsidR="00E90E49" w:rsidRPr="00CE0424" w:rsidRDefault="00E90E49" w:rsidP="00357380">
      <w:pPr>
        <w:pStyle w:val="3GPPHeader"/>
      </w:pPr>
    </w:p>
    <w:p w14:paraId="7A555DD8" w14:textId="71F7A32B" w:rsidR="00E90E49" w:rsidRPr="00104055" w:rsidRDefault="00E90E49" w:rsidP="00311702">
      <w:pPr>
        <w:pStyle w:val="3GPPHeader"/>
        <w:rPr>
          <w:sz w:val="22"/>
        </w:rPr>
      </w:pPr>
      <w:r w:rsidRPr="00104055">
        <w:rPr>
          <w:sz w:val="22"/>
        </w:rPr>
        <w:t>Agenda Item:</w:t>
      </w:r>
      <w:r w:rsidRPr="00104055">
        <w:rPr>
          <w:sz w:val="22"/>
        </w:rPr>
        <w:tab/>
      </w:r>
      <w:r w:rsidR="009027D4" w:rsidRPr="00104055">
        <w:rPr>
          <w:sz w:val="22"/>
        </w:rPr>
        <w:t>7.2.2.</w:t>
      </w:r>
      <w:r w:rsidR="0045714B" w:rsidRPr="00104055">
        <w:rPr>
          <w:sz w:val="22"/>
        </w:rPr>
        <w:t>2.2</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6D6E7661" w:rsidR="00E90E49" w:rsidRPr="00CE0424" w:rsidRDefault="003D3C45" w:rsidP="00311702">
      <w:pPr>
        <w:pStyle w:val="3GPPHeader"/>
        <w:rPr>
          <w:sz w:val="22"/>
        </w:rPr>
      </w:pPr>
      <w:r>
        <w:rPr>
          <w:sz w:val="22"/>
        </w:rPr>
        <w:t>Title:</w:t>
      </w:r>
      <w:r w:rsidR="00E90E49" w:rsidRPr="00CE0424">
        <w:rPr>
          <w:sz w:val="22"/>
        </w:rPr>
        <w:tab/>
      </w:r>
      <w:r w:rsidR="0045714B">
        <w:rPr>
          <w:sz w:val="22"/>
        </w:rPr>
        <w:t>Enhancements to Initial Access Procedures</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002BA1AE" w14:textId="77777777" w:rsidR="00E90E49" w:rsidRPr="00CE0424" w:rsidRDefault="00E90E49" w:rsidP="00E90E49"/>
    <w:p w14:paraId="24E63993" w14:textId="77777777" w:rsidR="00E90E49" w:rsidRPr="00290A61" w:rsidRDefault="00230D18" w:rsidP="00CE0424">
      <w:pPr>
        <w:pStyle w:val="Heading1"/>
        <w:rPr>
          <w:lang w:val="en-US"/>
        </w:rPr>
      </w:pPr>
      <w:r w:rsidRPr="00290A61">
        <w:rPr>
          <w:lang w:val="en-US"/>
        </w:rPr>
        <w:t>1</w:t>
      </w:r>
      <w:r w:rsidRPr="00290A61">
        <w:rPr>
          <w:lang w:val="en-US"/>
        </w:rPr>
        <w:tab/>
      </w:r>
      <w:r w:rsidR="00E90E49" w:rsidRPr="00290A61">
        <w:rPr>
          <w:lang w:val="en-US"/>
        </w:rPr>
        <w:t>Introduction</w:t>
      </w:r>
    </w:p>
    <w:p w14:paraId="2F3B7A12" w14:textId="13795CE0" w:rsidR="00477768" w:rsidRPr="00CE0424" w:rsidRDefault="000E3014" w:rsidP="00CE0424">
      <w:pPr>
        <w:pStyle w:val="BodyText"/>
      </w:pPr>
      <w:r>
        <w:t xml:space="preserve">This document is for the purposes of NR-U maintenance under the </w:t>
      </w:r>
      <w:r w:rsidR="0045714B">
        <w:t>enhancements to initial access procedures</w:t>
      </w:r>
      <w:r>
        <w:t xml:space="preserve"> agenda item.</w:t>
      </w:r>
    </w:p>
    <w:p w14:paraId="17C6D936" w14:textId="7CE143F0" w:rsidR="004000E8" w:rsidRPr="00290A61" w:rsidRDefault="00230D18" w:rsidP="00CE0424">
      <w:pPr>
        <w:pStyle w:val="Heading1"/>
        <w:rPr>
          <w:lang w:val="en-US"/>
        </w:rPr>
      </w:pPr>
      <w:bookmarkStart w:id="0" w:name="_Ref178064866"/>
      <w:r w:rsidRPr="00290A61">
        <w:rPr>
          <w:lang w:val="en-US"/>
        </w:rPr>
        <w:t>2</w:t>
      </w:r>
      <w:r w:rsidRPr="00290A61">
        <w:rPr>
          <w:lang w:val="en-US"/>
        </w:rPr>
        <w:tab/>
      </w:r>
      <w:r w:rsidR="004000E8" w:rsidRPr="00290A61">
        <w:rPr>
          <w:lang w:val="en-US"/>
        </w:rPr>
        <w:t>Discussion</w:t>
      </w:r>
      <w:bookmarkEnd w:id="0"/>
    </w:p>
    <w:p w14:paraId="22BB6BA7" w14:textId="090C3924" w:rsidR="00052CE9" w:rsidRPr="00B204DE" w:rsidRDefault="00052CE9" w:rsidP="00290A61">
      <w:pPr>
        <w:pStyle w:val="Heading2"/>
      </w:pPr>
      <w:r w:rsidRPr="00290A61">
        <w:rPr>
          <w:lang w:val="en-US"/>
        </w:rPr>
        <w:t>2.1</w:t>
      </w:r>
      <w:r w:rsidRPr="00290A61">
        <w:rPr>
          <w:lang w:val="en-US"/>
        </w:rPr>
        <w:tab/>
      </w:r>
      <w:r w:rsidR="007A7D4F">
        <w:rPr>
          <w:lang w:val="en-US"/>
        </w:rPr>
        <w:t xml:space="preserve">RAN4 LS: </w:t>
      </w:r>
      <w:r w:rsidRPr="00290A61">
        <w:rPr>
          <w:lang w:val="en-US"/>
        </w:rPr>
        <w:t>NR-U SSB monitoring capabilities</w:t>
      </w:r>
    </w:p>
    <w:p w14:paraId="31F6A60E" w14:textId="23A62C27" w:rsidR="00052CE9" w:rsidRDefault="00052CE9" w:rsidP="00D84E4E">
      <w:pPr>
        <w:pStyle w:val="BodyText"/>
      </w:pPr>
      <w:r>
        <w:t>In RAN4#94-e-bis</w:t>
      </w:r>
      <w:r w:rsidR="00D84E4E">
        <w:t xml:space="preserve"> RAN4 discussed RRM and RLM capabilities</w:t>
      </w:r>
      <w:r w:rsidR="00CD2708">
        <w:t xml:space="preserve"> </w:t>
      </w:r>
      <w:r w:rsidR="00CD2708">
        <w:fldChar w:fldCharType="begin"/>
      </w:r>
      <w:r w:rsidR="00CD2708">
        <w:instrText xml:space="preserve"> REF _Ref40344001 \r \h </w:instrText>
      </w:r>
      <w:r w:rsidR="00CD2708">
        <w:fldChar w:fldCharType="separate"/>
      </w:r>
      <w:r w:rsidR="00AB4A5D">
        <w:t>[5]</w:t>
      </w:r>
      <w:r w:rsidR="00CD2708">
        <w:fldChar w:fldCharType="end"/>
      </w:r>
      <w:r w:rsidR="00D84E4E">
        <w:t>. It</w:t>
      </w:r>
      <w:r w:rsidR="00D84E4E" w:rsidRPr="00D84E4E">
        <w:t xml:space="preserve"> </w:t>
      </w:r>
      <w:proofErr w:type="spellStart"/>
      <w:r w:rsidR="00D84E4E" w:rsidRPr="00D84E4E">
        <w:t>it</w:t>
      </w:r>
      <w:proofErr w:type="spellEnd"/>
      <w:r w:rsidR="00D84E4E" w:rsidRPr="00D84E4E">
        <w:t xml:space="preserve"> was discussed whether UEs need to monitor all candidate SSB/PBCH positions within a given discovery burst transmission window and the impact on the UEs, e.g. UE power consumption and UE implementation complexity.</w:t>
      </w:r>
      <w:r w:rsidR="00946E2A">
        <w:t xml:space="preserve"> RAN4 made the following agreement:</w:t>
      </w:r>
    </w:p>
    <w:tbl>
      <w:tblPr>
        <w:tblStyle w:val="TableGrid"/>
        <w:tblW w:w="0" w:type="auto"/>
        <w:tblLook w:val="04A0" w:firstRow="1" w:lastRow="0" w:firstColumn="1" w:lastColumn="0" w:noHBand="0" w:noVBand="1"/>
      </w:tblPr>
      <w:tblGrid>
        <w:gridCol w:w="9629"/>
      </w:tblGrid>
      <w:tr w:rsidR="00946E2A" w14:paraId="5E8B3505" w14:textId="77777777" w:rsidTr="00290A61">
        <w:tc>
          <w:tcPr>
            <w:tcW w:w="9629" w:type="dxa"/>
            <w:shd w:val="clear" w:color="auto" w:fill="auto"/>
          </w:tcPr>
          <w:p w14:paraId="59326ACC" w14:textId="7AA5F3D1" w:rsidR="00720828" w:rsidRPr="00720828" w:rsidRDefault="00720828" w:rsidP="00290A61">
            <w:pPr>
              <w:tabs>
                <w:tab w:val="left" w:pos="720"/>
              </w:tabs>
              <w:autoSpaceDN w:val="0"/>
              <w:spacing w:after="120" w:line="252" w:lineRule="auto"/>
              <w:rPr>
                <w:rFonts w:ascii="Times New Roman" w:hAnsi="Times New Roman" w:cs="Times New Roman"/>
                <w:bCs/>
                <w:i/>
              </w:rPr>
            </w:pPr>
            <w:r w:rsidRPr="00290A61">
              <w:rPr>
                <w:rFonts w:ascii="Times New Roman" w:hAnsi="Times New Roman" w:cs="Times New Roman"/>
                <w:bCs/>
                <w:i/>
              </w:rPr>
              <w:t xml:space="preserve">Define the following UE capabilities: </w:t>
            </w:r>
          </w:p>
          <w:p w14:paraId="20223253" w14:textId="77777777" w:rsidR="00946E2A" w:rsidRPr="00290A61" w:rsidRDefault="00946E2A" w:rsidP="00946E2A">
            <w:pPr>
              <w:pStyle w:val="ListParagraph"/>
              <w:numPr>
                <w:ilvl w:val="0"/>
                <w:numId w:val="33"/>
              </w:numPr>
              <w:tabs>
                <w:tab w:val="left" w:pos="720"/>
              </w:tabs>
              <w:autoSpaceDN w:val="0"/>
              <w:spacing w:after="120" w:line="252" w:lineRule="auto"/>
              <w:rPr>
                <w:rFonts w:ascii="Times New Roman" w:eastAsia="MS Mincho" w:hAnsi="Times New Roman" w:cs="Times New Roman"/>
                <w:i/>
                <w:lang w:val="en-US"/>
              </w:rPr>
            </w:pPr>
            <w:r w:rsidRPr="00290A61">
              <w:rPr>
                <w:rFonts w:ascii="Times New Roman" w:hAnsi="Times New Roman" w:cs="Times New Roman"/>
                <w:i/>
                <w:lang w:val="en-US"/>
              </w:rPr>
              <w:t xml:space="preserve">For RLM/BFD/CBD UE is required to monitor at least </w:t>
            </w:r>
            <w:r w:rsidRPr="00290A61">
              <w:rPr>
                <w:rFonts w:ascii="Times New Roman" w:hAnsi="Times New Roman" w:cs="Times New Roman"/>
                <w:b/>
                <w:i/>
                <w:lang w:val="en-US"/>
              </w:rPr>
              <w:t>N1</w:t>
            </w:r>
            <w:r w:rsidRPr="00290A61">
              <w:rPr>
                <w:rFonts w:ascii="Times New Roman" w:hAnsi="Times New Roman" w:cs="Times New Roman"/>
                <w:i/>
                <w:lang w:val="en-US"/>
              </w:rPr>
              <w:t xml:space="preserve"> candidate SSB positions from the set of SSBs that are </w:t>
            </w:r>
            <w:proofErr w:type="spellStart"/>
            <w:r w:rsidRPr="00290A61">
              <w:rPr>
                <w:rFonts w:ascii="Times New Roman" w:hAnsi="Times New Roman" w:cs="Times New Roman"/>
                <w:i/>
                <w:lang w:val="en-US"/>
              </w:rPr>
              <w:t>QCLed</w:t>
            </w:r>
            <w:proofErr w:type="spellEnd"/>
            <w:r w:rsidRPr="00290A61">
              <w:rPr>
                <w:rFonts w:ascii="Times New Roman" w:hAnsi="Times New Roman" w:cs="Times New Roman"/>
                <w:i/>
                <w:lang w:val="en-US"/>
              </w:rPr>
              <w:t xml:space="preserve"> with each other within the set of configured resources</w:t>
            </w:r>
          </w:p>
          <w:p w14:paraId="5AF16B86" w14:textId="77777777" w:rsidR="00946E2A" w:rsidRPr="00290A61" w:rsidRDefault="00946E2A" w:rsidP="00946E2A">
            <w:pPr>
              <w:pStyle w:val="ListParagraph"/>
              <w:numPr>
                <w:ilvl w:val="0"/>
                <w:numId w:val="33"/>
              </w:numPr>
              <w:tabs>
                <w:tab w:val="left" w:pos="720"/>
              </w:tabs>
              <w:autoSpaceDN w:val="0"/>
              <w:spacing w:after="120" w:line="252" w:lineRule="auto"/>
              <w:rPr>
                <w:rFonts w:ascii="Times New Roman" w:hAnsi="Times New Roman" w:cs="Times New Roman"/>
                <w:i/>
                <w:lang w:val="en-US"/>
              </w:rPr>
            </w:pPr>
            <w:r w:rsidRPr="00290A61">
              <w:rPr>
                <w:rFonts w:ascii="Times New Roman" w:hAnsi="Times New Roman" w:cs="Times New Roman"/>
                <w:i/>
                <w:lang w:val="en-US"/>
              </w:rPr>
              <w:t xml:space="preserve">For intra and inter-frequency measurements UE is required to monitor at least </w:t>
            </w:r>
            <w:r w:rsidRPr="00290A61">
              <w:rPr>
                <w:rFonts w:ascii="Times New Roman" w:hAnsi="Times New Roman" w:cs="Times New Roman"/>
                <w:b/>
                <w:i/>
                <w:lang w:val="en-US"/>
              </w:rPr>
              <w:t>N2</w:t>
            </w:r>
            <w:r w:rsidRPr="00290A61">
              <w:rPr>
                <w:rFonts w:ascii="Times New Roman" w:hAnsi="Times New Roman" w:cs="Times New Roman"/>
                <w:i/>
                <w:lang w:val="en-US"/>
              </w:rPr>
              <w:t xml:space="preserve"> candidate SSB positions from the set of SSBs that are </w:t>
            </w:r>
            <w:proofErr w:type="spellStart"/>
            <w:r w:rsidRPr="00290A61">
              <w:rPr>
                <w:rFonts w:ascii="Times New Roman" w:hAnsi="Times New Roman" w:cs="Times New Roman"/>
                <w:i/>
                <w:lang w:val="en-US"/>
              </w:rPr>
              <w:t>QCLed</w:t>
            </w:r>
            <w:proofErr w:type="spellEnd"/>
            <w:r w:rsidRPr="00290A61">
              <w:rPr>
                <w:rFonts w:ascii="Times New Roman" w:hAnsi="Times New Roman" w:cs="Times New Roman"/>
                <w:i/>
                <w:lang w:val="en-US"/>
              </w:rPr>
              <w:t xml:space="preserve"> with each other within discovery burst transmission window </w:t>
            </w:r>
          </w:p>
          <w:p w14:paraId="7AB6D78E" w14:textId="77777777" w:rsidR="00946E2A" w:rsidRPr="00290A61" w:rsidRDefault="00946E2A" w:rsidP="00946E2A">
            <w:pPr>
              <w:pStyle w:val="ListParagraph"/>
              <w:numPr>
                <w:ilvl w:val="1"/>
                <w:numId w:val="33"/>
              </w:numPr>
              <w:tabs>
                <w:tab w:val="left" w:pos="720"/>
              </w:tabs>
              <w:autoSpaceDN w:val="0"/>
              <w:spacing w:after="120" w:line="252" w:lineRule="auto"/>
              <w:rPr>
                <w:rFonts w:ascii="Times New Roman" w:hAnsi="Times New Roman" w:cs="Times New Roman"/>
                <w:i/>
                <w:lang w:val="en-US"/>
              </w:rPr>
            </w:pPr>
            <w:r w:rsidRPr="00290A61">
              <w:rPr>
                <w:rFonts w:ascii="Times New Roman" w:hAnsi="Times New Roman" w:cs="Times New Roman"/>
                <w:i/>
                <w:lang w:val="en-US"/>
              </w:rPr>
              <w:t>FFS for the case Q is not provided to the UE</w:t>
            </w:r>
          </w:p>
          <w:p w14:paraId="537867A8" w14:textId="77777777" w:rsidR="00946E2A" w:rsidRPr="00290A61" w:rsidRDefault="00946E2A" w:rsidP="00946E2A">
            <w:pPr>
              <w:pStyle w:val="ListParagraph"/>
              <w:numPr>
                <w:ilvl w:val="1"/>
                <w:numId w:val="33"/>
              </w:numPr>
              <w:tabs>
                <w:tab w:val="left" w:pos="720"/>
              </w:tabs>
              <w:autoSpaceDN w:val="0"/>
              <w:spacing w:after="120" w:line="252" w:lineRule="auto"/>
              <w:rPr>
                <w:rFonts w:ascii="Times New Roman" w:hAnsi="Times New Roman" w:cs="Times New Roman"/>
                <w:i/>
                <w:lang w:val="en-US"/>
              </w:rPr>
            </w:pPr>
            <w:r w:rsidRPr="00290A61">
              <w:rPr>
                <w:rFonts w:ascii="Times New Roman" w:hAnsi="Times New Roman" w:cs="Times New Roman"/>
                <w:i/>
                <w:lang w:val="en-US"/>
              </w:rPr>
              <w:t>FFS how to handle IDLE mode capabilities</w:t>
            </w:r>
          </w:p>
          <w:p w14:paraId="4D2D88A6" w14:textId="77777777" w:rsidR="00946E2A" w:rsidRPr="00290A61" w:rsidRDefault="00946E2A" w:rsidP="00946E2A">
            <w:pPr>
              <w:pStyle w:val="ListParagraph"/>
              <w:numPr>
                <w:ilvl w:val="0"/>
                <w:numId w:val="33"/>
              </w:numPr>
              <w:tabs>
                <w:tab w:val="left" w:pos="720"/>
              </w:tabs>
              <w:autoSpaceDN w:val="0"/>
              <w:spacing w:after="120" w:line="252" w:lineRule="auto"/>
              <w:rPr>
                <w:rFonts w:ascii="Times New Roman" w:hAnsi="Times New Roman" w:cs="Times New Roman"/>
                <w:i/>
                <w:lang w:val="en-US"/>
              </w:rPr>
            </w:pPr>
            <w:r w:rsidRPr="00290A61">
              <w:rPr>
                <w:rFonts w:ascii="Times New Roman" w:hAnsi="Times New Roman" w:cs="Times New Roman"/>
                <w:i/>
                <w:lang w:val="en-US"/>
              </w:rPr>
              <w:t>Candidate N1 and N2 values are [1, 2, …]</w:t>
            </w:r>
          </w:p>
          <w:p w14:paraId="66E0225E" w14:textId="77777777" w:rsidR="00946E2A" w:rsidRPr="00290A61" w:rsidRDefault="00946E2A" w:rsidP="00946E2A">
            <w:pPr>
              <w:pStyle w:val="ListParagraph"/>
              <w:numPr>
                <w:ilvl w:val="0"/>
                <w:numId w:val="33"/>
              </w:numPr>
              <w:tabs>
                <w:tab w:val="left" w:pos="720"/>
              </w:tabs>
              <w:autoSpaceDN w:val="0"/>
              <w:spacing w:after="120" w:line="252" w:lineRule="auto"/>
              <w:rPr>
                <w:rFonts w:ascii="Times New Roman" w:hAnsi="Times New Roman" w:cs="Times New Roman"/>
                <w:i/>
                <w:lang w:val="en-US"/>
              </w:rPr>
            </w:pPr>
            <w:r w:rsidRPr="00290A61">
              <w:rPr>
                <w:rFonts w:ascii="Times New Roman" w:hAnsi="Times New Roman" w:cs="Times New Roman"/>
                <w:i/>
                <w:lang w:val="en-US"/>
              </w:rPr>
              <w:t>FFS whether N1 = N2</w:t>
            </w:r>
          </w:p>
          <w:p w14:paraId="3F9356BA" w14:textId="77777777" w:rsidR="00946E2A" w:rsidRPr="00290A61" w:rsidRDefault="00946E2A" w:rsidP="00946E2A">
            <w:pPr>
              <w:pStyle w:val="ListParagraph"/>
              <w:numPr>
                <w:ilvl w:val="0"/>
                <w:numId w:val="33"/>
              </w:numPr>
              <w:tabs>
                <w:tab w:val="left" w:pos="720"/>
              </w:tabs>
              <w:autoSpaceDN w:val="0"/>
              <w:spacing w:after="120" w:line="252" w:lineRule="auto"/>
              <w:rPr>
                <w:rFonts w:ascii="Times New Roman" w:hAnsi="Times New Roman" w:cs="Times New Roman"/>
                <w:i/>
                <w:lang w:val="en-US"/>
              </w:rPr>
            </w:pPr>
            <w:r w:rsidRPr="00290A61">
              <w:rPr>
                <w:rFonts w:ascii="Times New Roman" w:hAnsi="Times New Roman" w:cs="Times New Roman"/>
                <w:i/>
                <w:lang w:val="en-US"/>
              </w:rPr>
              <w:t>FFS whether to have different capabilities for FBE and LBE modes</w:t>
            </w:r>
          </w:p>
          <w:p w14:paraId="33EB222F" w14:textId="77777777" w:rsidR="00946E2A" w:rsidRPr="00083496" w:rsidRDefault="00946E2A" w:rsidP="00D84E4E">
            <w:pPr>
              <w:pStyle w:val="BodyText"/>
            </w:pPr>
          </w:p>
        </w:tc>
      </w:tr>
    </w:tbl>
    <w:p w14:paraId="689F7F06" w14:textId="49D8FA05" w:rsidR="00946E2A" w:rsidRDefault="00946E2A" w:rsidP="00D84E4E">
      <w:pPr>
        <w:pStyle w:val="BodyText"/>
      </w:pPr>
    </w:p>
    <w:p w14:paraId="2DC6AEF3" w14:textId="75801716" w:rsidR="00946E2A" w:rsidRDefault="00946E2A" w:rsidP="00946E2A">
      <w:pPr>
        <w:pStyle w:val="BodyText"/>
      </w:pPr>
      <w:r>
        <w:t>RAN4 respectfully asks RAN1 to provide feedback whether monitoring within a given discovery burst transmission window all candidate SS/PBCH block indexes corresponding to the same SS/PBCH block index is mandatory for UEs.</w:t>
      </w:r>
    </w:p>
    <w:p w14:paraId="5335C5CF" w14:textId="2EAEA761" w:rsidR="00A02A96" w:rsidRPr="00B204DE" w:rsidRDefault="00132C9E" w:rsidP="00720828">
      <w:pPr>
        <w:pStyle w:val="BodyText"/>
      </w:pPr>
      <w:r>
        <w:t>According to our understanding current RAN1 agreements imply that a UE</w:t>
      </w:r>
      <w:r w:rsidR="00A862D1">
        <w:t>,</w:t>
      </w:r>
      <w:r>
        <w:t xml:space="preserve"> </w:t>
      </w:r>
      <w:r w:rsidRPr="00290A61">
        <w:rPr>
          <w:u w:val="single"/>
        </w:rPr>
        <w:t>if configured</w:t>
      </w:r>
      <w:r>
        <w:t xml:space="preserve"> to do so, should monitor all candidate SS/PBCH block indexes corresponding to the same SS/PBCH block index, i.e. N1=N2=10/20, for 15 and 30 kHz SCS respectively.</w:t>
      </w:r>
      <w:r w:rsidR="002475F8">
        <w:t xml:space="preserve"> </w:t>
      </w:r>
      <w:r w:rsidR="006B2174" w:rsidRPr="00083496">
        <w:t>I</w:t>
      </w:r>
      <w:r w:rsidR="001F0745" w:rsidRPr="00083496">
        <w:t>t</w:t>
      </w:r>
      <w:r w:rsidR="001F0745">
        <w:t xml:space="preserve"> should also be noted that the 10/20 are the maximum values and many configurations result in lower values.</w:t>
      </w:r>
      <w:r w:rsidR="00FA3590" w:rsidRPr="00083496">
        <w:t xml:space="preserve"> </w:t>
      </w:r>
    </w:p>
    <w:p w14:paraId="5B5B6686" w14:textId="38F89462" w:rsidR="00720828" w:rsidRDefault="00720828" w:rsidP="00720828">
      <w:pPr>
        <w:pStyle w:val="BodyText"/>
      </w:pPr>
      <w:r>
        <w:t xml:space="preserve">As a comparison, one should also keep in mind that for LTE LAA, the DMTC window is 6 </w:t>
      </w:r>
      <w:proofErr w:type="spellStart"/>
      <w:r>
        <w:t>ms</w:t>
      </w:r>
      <w:proofErr w:type="spellEnd"/>
      <w:r>
        <w:t xml:space="preserve"> and the DRS can shift on a subframe (1ms) bas</w:t>
      </w:r>
      <w:r w:rsidR="0053281E">
        <w:t>i</w:t>
      </w:r>
      <w:r>
        <w:t>s, thus there are 6 candidate starting points.</w:t>
      </w:r>
    </w:p>
    <w:p w14:paraId="7D57F832" w14:textId="3AB0CEA7" w:rsidR="00720828" w:rsidRPr="00B204DE" w:rsidRDefault="00720828" w:rsidP="00290A61">
      <w:pPr>
        <w:pStyle w:val="Observation"/>
      </w:pPr>
      <w:bookmarkStart w:id="1" w:name="_Toc40463377"/>
      <w:r>
        <w:t>For LTE LAA, there are 6 candidate starting points for the DRS.</w:t>
      </w:r>
      <w:bookmarkEnd w:id="1"/>
    </w:p>
    <w:p w14:paraId="23FC80CA" w14:textId="7AC1BAD4" w:rsidR="00946E2A" w:rsidRPr="00083496" w:rsidRDefault="009B2C69" w:rsidP="00D84E4E">
      <w:pPr>
        <w:pStyle w:val="BodyText"/>
      </w:pPr>
      <w:r w:rsidRPr="00083496">
        <w:t xml:space="preserve">The </w:t>
      </w:r>
      <w:proofErr w:type="spellStart"/>
      <w:r w:rsidRPr="00083496">
        <w:t>gNB</w:t>
      </w:r>
      <w:proofErr w:type="spellEnd"/>
      <w:r w:rsidRPr="00083496">
        <w:t xml:space="preserve"> has several ways to limit the number of candidate SS/PBCH blocks that the UE needs to monitor. Most importantly, the discovery burst transmission window can be configured to values a</w:t>
      </w:r>
      <w:r w:rsidR="00456D53" w:rsidRPr="00083496">
        <w:t>s</w:t>
      </w:r>
      <w:r w:rsidRPr="00083496">
        <w:t xml:space="preserve"> short as 0.5 </w:t>
      </w:r>
      <w:proofErr w:type="spellStart"/>
      <w:r w:rsidRPr="00083496">
        <w:t>ms.</w:t>
      </w:r>
      <w:proofErr w:type="spellEnd"/>
      <w:r w:rsidRPr="00083496">
        <w:t xml:space="preserve"> Secondly, the </w:t>
      </w:r>
      <w:proofErr w:type="spellStart"/>
      <w:r w:rsidRPr="00083496">
        <w:t>gNB</w:t>
      </w:r>
      <w:proofErr w:type="spellEnd"/>
      <w:r w:rsidRPr="00083496">
        <w:t xml:space="preserve"> can configure </w:t>
      </w:r>
      <w:proofErr w:type="spellStart"/>
      <w:r w:rsidRPr="00083496">
        <w:t>ssb-ToMeasure</w:t>
      </w:r>
      <w:proofErr w:type="spellEnd"/>
      <w:r w:rsidRPr="00083496">
        <w:t xml:space="preserve"> for RRM measurements and a limited number of RLM-RS to limit the number of SS/PBCH block indexes to monitor.</w:t>
      </w:r>
    </w:p>
    <w:p w14:paraId="75294F33" w14:textId="7ECBBEC5" w:rsidR="00041DE8" w:rsidRPr="008A5801" w:rsidRDefault="00041DE8" w:rsidP="00290A61">
      <w:pPr>
        <w:pStyle w:val="Observation"/>
      </w:pPr>
      <w:bookmarkStart w:id="2" w:name="_Toc40463378"/>
      <w:r w:rsidRPr="00B204DE">
        <w:t xml:space="preserve">The </w:t>
      </w:r>
      <w:proofErr w:type="spellStart"/>
      <w:r w:rsidRPr="00B204DE">
        <w:t>gNB</w:t>
      </w:r>
      <w:proofErr w:type="spellEnd"/>
      <w:r w:rsidRPr="00B204DE">
        <w:t xml:space="preserve"> has several </w:t>
      </w:r>
      <w:proofErr w:type="gramStart"/>
      <w:r w:rsidRPr="00B204DE">
        <w:t>mechanism</w:t>
      </w:r>
      <w:proofErr w:type="gramEnd"/>
      <w:r w:rsidRPr="00B204DE">
        <w:t xml:space="preserve"> to limit the number of candidate SS/PBCH blocks the UE need</w:t>
      </w:r>
      <w:r w:rsidR="00F461F7" w:rsidRPr="0053281E">
        <w:t>s</w:t>
      </w:r>
      <w:r w:rsidRPr="0053281E">
        <w:t xml:space="preserve"> to monitor</w:t>
      </w:r>
      <w:r w:rsidR="00FC702A" w:rsidRPr="0053281E">
        <w:t xml:space="preserve">, e.g. configuring a shorter discovery burst </w:t>
      </w:r>
      <w:r w:rsidR="00FC702A" w:rsidRPr="00E96E71">
        <w:t xml:space="preserve">transmission window (SMTC window) or restricting the SS/PBCH blocks to measure using </w:t>
      </w:r>
      <w:proofErr w:type="spellStart"/>
      <w:r w:rsidR="00FC702A" w:rsidRPr="00E96E71">
        <w:t>ssb-ToMeasue</w:t>
      </w:r>
      <w:proofErr w:type="spellEnd"/>
      <w:r w:rsidR="00FC702A" w:rsidRPr="00E96E71">
        <w:t>.</w:t>
      </w:r>
      <w:bookmarkEnd w:id="2"/>
    </w:p>
    <w:p w14:paraId="3DB7F689" w14:textId="167E7A9D" w:rsidR="00083496" w:rsidRDefault="00644A80" w:rsidP="00D84E4E">
      <w:pPr>
        <w:pStyle w:val="BodyText"/>
      </w:pPr>
      <w:r w:rsidRPr="00083496">
        <w:t xml:space="preserve">The large effort RAN1 has put into specifying the </w:t>
      </w:r>
      <w:proofErr w:type="spellStart"/>
      <w:r w:rsidRPr="00083496">
        <w:t>mechnaim</w:t>
      </w:r>
      <w:proofErr w:type="spellEnd"/>
      <w:r w:rsidRPr="00083496">
        <w:t xml:space="preserve"> that allows SS/PBCH blocks to shift in the discovery burst transmission window indicates that this </w:t>
      </w:r>
      <w:proofErr w:type="gramStart"/>
      <w:r w:rsidRPr="00083496">
        <w:t>is considered to be</w:t>
      </w:r>
      <w:proofErr w:type="gramEnd"/>
      <w:r w:rsidRPr="00083496">
        <w:t xml:space="preserve"> an important feature by RAN1. If too small values of N1 and N2 are defined, the feature will be </w:t>
      </w:r>
      <w:proofErr w:type="spellStart"/>
      <w:r w:rsidRPr="00083496">
        <w:t>sevearly</w:t>
      </w:r>
      <w:proofErr w:type="spellEnd"/>
      <w:r w:rsidRPr="00083496">
        <w:t xml:space="preserve"> restricted. That said, we do </w:t>
      </w:r>
      <w:proofErr w:type="spellStart"/>
      <w:r w:rsidRPr="00083496">
        <w:t>ackowledge</w:t>
      </w:r>
      <w:proofErr w:type="spellEnd"/>
      <w:r w:rsidRPr="00083496">
        <w:t xml:space="preserve"> that some of the configurations puts a high burd</w:t>
      </w:r>
      <w:r w:rsidR="00E5347A" w:rsidRPr="00083496">
        <w:t>e</w:t>
      </w:r>
      <w:r w:rsidRPr="00083496">
        <w:t>n on the UE.</w:t>
      </w:r>
      <w:r w:rsidR="002E2AF6" w:rsidRPr="00083496">
        <w:t xml:space="preserve"> </w:t>
      </w:r>
    </w:p>
    <w:p w14:paraId="7A08AA2D" w14:textId="7A4426E0" w:rsidR="0074073F" w:rsidRPr="00083496" w:rsidRDefault="0074073F" w:rsidP="00D84E4E">
      <w:pPr>
        <w:pStyle w:val="BodyText"/>
      </w:pPr>
      <w:r w:rsidRPr="00083496">
        <w:t xml:space="preserve">We also think that the cases for RLM (i.e. N1) and RRM (i.e. N2) should be treated differently. RLM is a core mechanism for the </w:t>
      </w:r>
      <w:proofErr w:type="spellStart"/>
      <w:r w:rsidRPr="00083496">
        <w:t>gNB</w:t>
      </w:r>
      <w:proofErr w:type="spellEnd"/>
      <w:r w:rsidRPr="00083496">
        <w:t xml:space="preserve"> to make sure the UE is reachable, thus having a high </w:t>
      </w:r>
      <w:proofErr w:type="spellStart"/>
      <w:r w:rsidRPr="00083496">
        <w:t>resiliance</w:t>
      </w:r>
      <w:proofErr w:type="spellEnd"/>
      <w:r w:rsidRPr="00083496">
        <w:t xml:space="preserve"> to LBT </w:t>
      </w:r>
      <w:proofErr w:type="spellStart"/>
      <w:r w:rsidRPr="00083496">
        <w:t>failurs</w:t>
      </w:r>
      <w:proofErr w:type="spellEnd"/>
      <w:r w:rsidRPr="00083496">
        <w:t xml:space="preserve"> is very important. </w:t>
      </w:r>
      <w:r w:rsidR="00083496">
        <w:t>T</w:t>
      </w:r>
      <w:r w:rsidRPr="00083496">
        <w:t xml:space="preserve">he discovery burst </w:t>
      </w:r>
      <w:proofErr w:type="spellStart"/>
      <w:r w:rsidRPr="00083496">
        <w:t>transmison</w:t>
      </w:r>
      <w:proofErr w:type="spellEnd"/>
      <w:r w:rsidRPr="00083496">
        <w:t xml:space="preserve"> window (for RLM) and the SMTC windows (for RRM measurements) can be configured differently</w:t>
      </w:r>
      <w:r w:rsidR="00083496">
        <w:t xml:space="preserve">, allowing different number of candidate SS/PBCH block positions to be monitored for RLM and RRM. In FR1, </w:t>
      </w:r>
      <w:r w:rsidR="00B03CAF" w:rsidRPr="00083496">
        <w:t xml:space="preserve">RLM is done for at most </w:t>
      </w:r>
      <w:r w:rsidR="00083496">
        <w:t>4</w:t>
      </w:r>
      <w:r w:rsidR="00B03CAF" w:rsidRPr="00083496">
        <w:t xml:space="preserve"> RLM-RS sources </w:t>
      </w:r>
      <w:proofErr w:type="spellStart"/>
      <w:r w:rsidR="00B03CAF" w:rsidRPr="00083496">
        <w:t>wheras</w:t>
      </w:r>
      <w:proofErr w:type="spellEnd"/>
      <w:r w:rsidR="00B03CAF" w:rsidRPr="00083496">
        <w:t xml:space="preserve"> RRM </w:t>
      </w:r>
      <w:r w:rsidR="00083496">
        <w:t>can be done for up to 14 SSBs per frequency layer for intra-frequency measurements and 7 SS/PBCH blocks per inter-frequency layer.</w:t>
      </w:r>
      <w:r w:rsidR="0053281E">
        <w:t xml:space="preserve"> Hence, for RRM, the burden on the UE can be quite a bit larger than for RLM due to the scaling with the number of </w:t>
      </w:r>
      <w:proofErr w:type="spellStart"/>
      <w:r w:rsidR="0053281E">
        <w:t>frequeny</w:t>
      </w:r>
      <w:proofErr w:type="spellEnd"/>
      <w:r w:rsidR="0053281E">
        <w:t xml:space="preserve"> layers, thus motivating having a different value for N2 than N1.</w:t>
      </w:r>
    </w:p>
    <w:p w14:paraId="66E393A8" w14:textId="2360639C" w:rsidR="00720828" w:rsidRDefault="00720828" w:rsidP="00D84E4E">
      <w:pPr>
        <w:pStyle w:val="BodyText"/>
      </w:pPr>
      <w:r>
        <w:t xml:space="preserve">The RAN4 LS mentions N1/N2 as UE capabilities. Having UE capabilities for cell wide functionality that is even applicable in IDLE mode is </w:t>
      </w:r>
      <w:r w:rsidR="00930F6E">
        <w:t>highly</w:t>
      </w:r>
      <w:r>
        <w:t xml:space="preserve"> undesirable. </w:t>
      </w:r>
      <w:r w:rsidR="00930F6E">
        <w:t xml:space="preserve">The only option is for the </w:t>
      </w:r>
      <w:proofErr w:type="spellStart"/>
      <w:r w:rsidR="00930F6E">
        <w:t>gNB</w:t>
      </w:r>
      <w:proofErr w:type="spellEnd"/>
      <w:r w:rsidR="00930F6E">
        <w:t xml:space="preserve"> to use the most conservative configuration, thus rendering the UE capability useless. Instead we propose that if N1/N2 are defined, they should be fixed in the RAN4 specifications as is the case with other limits on e.g. number of cells and number of SS/PBCH blocks to monitor.</w:t>
      </w:r>
    </w:p>
    <w:p w14:paraId="43DA12B7" w14:textId="3946AC14" w:rsidR="00930F6E" w:rsidRPr="00083496" w:rsidRDefault="00930F6E" w:rsidP="00290A61">
      <w:pPr>
        <w:pStyle w:val="Observation"/>
      </w:pPr>
      <w:bookmarkStart w:id="3" w:name="_Toc40463379"/>
      <w:r>
        <w:t>Having UE capabilities for cell</w:t>
      </w:r>
      <w:r w:rsidR="00271D71">
        <w:t>-</w:t>
      </w:r>
      <w:r>
        <w:t>wide functionality such as N1/N2 that is even applicable in IDLE mode is highly undesirable.</w:t>
      </w:r>
      <w:bookmarkEnd w:id="3"/>
    </w:p>
    <w:p w14:paraId="77789AE4" w14:textId="0653C4A6" w:rsidR="00FC702A" w:rsidRPr="00083496" w:rsidRDefault="002E2AF6" w:rsidP="00D84E4E">
      <w:pPr>
        <w:pStyle w:val="BodyText"/>
      </w:pPr>
      <w:r w:rsidRPr="00083496">
        <w:t xml:space="preserve">Given these tradeoffs we make the following </w:t>
      </w:r>
      <w:r w:rsidR="0074073F" w:rsidRPr="00083496">
        <w:t>proposal</w:t>
      </w:r>
      <w:r w:rsidR="006C3193" w:rsidRPr="00083496">
        <w:t>s</w:t>
      </w:r>
      <w:r w:rsidR="00275F3E" w:rsidRPr="00083496">
        <w:t>:</w:t>
      </w:r>
    </w:p>
    <w:p w14:paraId="26B16D70" w14:textId="2901DBE3" w:rsidR="00B7039E" w:rsidRDefault="00930F6E">
      <w:pPr>
        <w:pStyle w:val="Proposal"/>
      </w:pPr>
      <w:bookmarkStart w:id="4" w:name="_Toc40463382"/>
      <w:r>
        <w:t xml:space="preserve">If defined, N1/N2 should be fixed in the RAN4 specifications and not be a </w:t>
      </w:r>
      <w:r w:rsidR="00B7039E">
        <w:t>UE capability.</w:t>
      </w:r>
      <w:bookmarkEnd w:id="4"/>
    </w:p>
    <w:p w14:paraId="5D339023" w14:textId="3968B4EE" w:rsidR="0074073F" w:rsidRPr="00B204DE" w:rsidRDefault="006C3193" w:rsidP="00290A61">
      <w:pPr>
        <w:pStyle w:val="Proposal"/>
      </w:pPr>
      <w:bookmarkStart w:id="5" w:name="_Toc40463383"/>
      <w:r w:rsidRPr="00083496">
        <w:t>For</w:t>
      </w:r>
      <w:r w:rsidR="0074073F" w:rsidRPr="00083496">
        <w:t xml:space="preserve"> </w:t>
      </w:r>
      <w:r w:rsidRPr="00083496">
        <w:t>RLM/BFD/CBD it is mandatory for the UE to monitor all candidate SS/PBCH block positions in the discovery burst transmission window</w:t>
      </w:r>
      <w:r w:rsidR="00F81949">
        <w:t xml:space="preserve"> corresponding to </w:t>
      </w:r>
      <w:r w:rsidR="00F81949">
        <w:lastRenderedPageBreak/>
        <w:t>the same SS/PBCH block index</w:t>
      </w:r>
      <w:r w:rsidRPr="00083496">
        <w:t xml:space="preserve">, </w:t>
      </w:r>
      <w:r w:rsidR="00F81949">
        <w:t>i.e.</w:t>
      </w:r>
      <w:r w:rsidRPr="00083496">
        <w:t xml:space="preserve"> N1 = 10/20 for 15</w:t>
      </w:r>
      <w:r w:rsidR="00271D71">
        <w:t>/</w:t>
      </w:r>
      <w:r w:rsidRPr="00083496">
        <w:t xml:space="preserve">30 </w:t>
      </w:r>
      <w:r w:rsidR="00DD7E94">
        <w:t>k</w:t>
      </w:r>
      <w:r w:rsidRPr="00083496">
        <w:t>Hz SCS respectively. Inform RAN4 of this decision.</w:t>
      </w:r>
      <w:bookmarkEnd w:id="5"/>
    </w:p>
    <w:p w14:paraId="6A375647" w14:textId="2B0AB9C8" w:rsidR="006C3193" w:rsidRPr="00B204DE" w:rsidRDefault="006C3193" w:rsidP="00290A61">
      <w:pPr>
        <w:pStyle w:val="Proposal"/>
      </w:pPr>
      <w:bookmarkStart w:id="6" w:name="_Toc40463384"/>
      <w:r w:rsidRPr="00083496">
        <w:t xml:space="preserve">For intra and inter-frequency measurements </w:t>
      </w:r>
      <w:r w:rsidR="00B227CC">
        <w:t xml:space="preserve">(in IDLE and CONNECTED mode) </w:t>
      </w:r>
      <w:r w:rsidRPr="00083496">
        <w:t xml:space="preserve">it is mandatory for the UE to monitor </w:t>
      </w:r>
      <w:r w:rsidR="00930F6E">
        <w:t xml:space="preserve">at least </w:t>
      </w:r>
      <w:r w:rsidRPr="00083496">
        <w:t xml:space="preserve">N2 = </w:t>
      </w:r>
      <w:r w:rsidR="00D02AF4">
        <w:t>5/</w:t>
      </w:r>
      <w:r w:rsidRPr="00083496">
        <w:t>10</w:t>
      </w:r>
      <w:r w:rsidR="00A76E1D">
        <w:t xml:space="preserve"> (for 15/30 kHz SCS respectively)</w:t>
      </w:r>
      <w:r w:rsidR="00A76E1D" w:rsidRPr="00083496">
        <w:t xml:space="preserve"> </w:t>
      </w:r>
      <w:r w:rsidRPr="00083496">
        <w:t xml:space="preserve">candidate SS/PBCH block positions </w:t>
      </w:r>
      <w:r w:rsidR="00F81949">
        <w:t>corresponding to the same SS/PBCH block index</w:t>
      </w:r>
      <w:r w:rsidR="00F81949" w:rsidRPr="00083496">
        <w:t xml:space="preserve"> </w:t>
      </w:r>
      <w:r w:rsidRPr="00083496">
        <w:t>in the SMTC window.</w:t>
      </w:r>
      <w:r w:rsidR="006D0DB4" w:rsidRPr="00083496">
        <w:t xml:space="preserve"> Inform RAN4 of this decision.</w:t>
      </w:r>
      <w:bookmarkEnd w:id="6"/>
    </w:p>
    <w:p w14:paraId="71953ABB" w14:textId="41D97EAE" w:rsidR="006C3193" w:rsidRPr="00083496" w:rsidRDefault="006C3193" w:rsidP="00D84E4E">
      <w:pPr>
        <w:pStyle w:val="Proposal"/>
      </w:pPr>
      <w:bookmarkStart w:id="7" w:name="_Toc40463385"/>
      <w:r w:rsidRPr="00083496">
        <w:t xml:space="preserve">The </w:t>
      </w:r>
      <w:r w:rsidR="00C57A4C">
        <w:t>values of N1/N2</w:t>
      </w:r>
      <w:r w:rsidRPr="00083496">
        <w:t xml:space="preserve"> </w:t>
      </w:r>
      <w:r w:rsidR="0053281E">
        <w:t xml:space="preserve">should be the same </w:t>
      </w:r>
      <w:r w:rsidRPr="00083496">
        <w:t>for LBE and FBE.</w:t>
      </w:r>
      <w:r w:rsidR="006D0DB4" w:rsidRPr="00083496">
        <w:t xml:space="preserve"> Inform RAN4 of this decision.</w:t>
      </w:r>
      <w:bookmarkEnd w:id="7"/>
    </w:p>
    <w:p w14:paraId="1258373C" w14:textId="2B945D1D" w:rsidR="00276489" w:rsidRDefault="00465B80" w:rsidP="004C0921">
      <w:pPr>
        <w:pStyle w:val="Heading2"/>
        <w:rPr>
          <w:lang w:val="en-US"/>
        </w:rPr>
      </w:pPr>
      <w:r w:rsidRPr="00290A61">
        <w:rPr>
          <w:lang w:val="en-US"/>
        </w:rPr>
        <w:t>2.</w:t>
      </w:r>
      <w:r w:rsidR="007A7D4F">
        <w:rPr>
          <w:lang w:val="en-US"/>
        </w:rPr>
        <w:t>2</w:t>
      </w:r>
      <w:r w:rsidRPr="00290A61">
        <w:rPr>
          <w:lang w:val="en-US"/>
        </w:rPr>
        <w:tab/>
      </w:r>
      <w:r w:rsidR="007A7D4F">
        <w:rPr>
          <w:lang w:val="en-US"/>
        </w:rPr>
        <w:t xml:space="preserve">RAN4 LS: </w:t>
      </w:r>
      <w:r w:rsidR="00276489">
        <w:rPr>
          <w:lang w:val="en-US"/>
        </w:rPr>
        <w:t>T</w:t>
      </w:r>
      <w:r w:rsidR="00276489" w:rsidRPr="00276489">
        <w:rPr>
          <w:lang w:val="en-US"/>
        </w:rPr>
        <w:t>iming reference cell adjustment under NR-U</w:t>
      </w:r>
    </w:p>
    <w:p w14:paraId="5684BA85" w14:textId="6174228C" w:rsidR="00276489" w:rsidRDefault="00276489" w:rsidP="00276489">
      <w:pPr>
        <w:pStyle w:val="BodyText"/>
      </w:pPr>
      <w:r>
        <w:t xml:space="preserve">In </w:t>
      </w:r>
      <w:r w:rsidRPr="00167D23">
        <w:t>RAN4#94-e-bis</w:t>
      </w:r>
      <w:r w:rsidR="00601902">
        <w:t>,</w:t>
      </w:r>
      <w:r w:rsidRPr="00167D23">
        <w:t xml:space="preserve"> RAN4 discussed</w:t>
      </w:r>
      <w:r>
        <w:t xml:space="preserve"> t</w:t>
      </w:r>
      <w:r w:rsidRPr="00276489">
        <w:t>iming reference cell adjustment under NR-U</w:t>
      </w:r>
      <w:r>
        <w:t xml:space="preserve"> and made the following agreement</w:t>
      </w:r>
      <w:r w:rsidR="00AA024F">
        <w:t xml:space="preserve"> </w:t>
      </w:r>
      <w:r w:rsidR="00AA024F">
        <w:fldChar w:fldCharType="begin"/>
      </w:r>
      <w:r w:rsidR="00AA024F">
        <w:instrText xml:space="preserve"> REF _Ref40187488 \r \h </w:instrText>
      </w:r>
      <w:r w:rsidR="00AA024F">
        <w:fldChar w:fldCharType="separate"/>
      </w:r>
      <w:r w:rsidR="00AB4A5D">
        <w:t>[6]</w:t>
      </w:r>
      <w:r w:rsidR="00AA024F">
        <w:fldChar w:fldCharType="end"/>
      </w:r>
      <w:r>
        <w:t>:</w:t>
      </w:r>
    </w:p>
    <w:tbl>
      <w:tblPr>
        <w:tblStyle w:val="TableGrid"/>
        <w:tblW w:w="0" w:type="auto"/>
        <w:tblLook w:val="04A0" w:firstRow="1" w:lastRow="0" w:firstColumn="1" w:lastColumn="0" w:noHBand="0" w:noVBand="1"/>
      </w:tblPr>
      <w:tblGrid>
        <w:gridCol w:w="9629"/>
      </w:tblGrid>
      <w:tr w:rsidR="00276489" w14:paraId="0DFAC3A2" w14:textId="77777777" w:rsidTr="00276489">
        <w:tc>
          <w:tcPr>
            <w:tcW w:w="9629" w:type="dxa"/>
          </w:tcPr>
          <w:p w14:paraId="4DC15C32" w14:textId="4F66D294" w:rsidR="00276489" w:rsidRPr="00290A61" w:rsidRDefault="00276489" w:rsidP="00290A61">
            <w:pPr>
              <w:jc w:val="both"/>
              <w:rPr>
                <w:rFonts w:ascii="Times New Roman" w:hAnsi="Times New Roman" w:cs="Times New Roman"/>
                <w:lang w:eastAsia="zh-CN"/>
              </w:rPr>
            </w:pPr>
            <w:r>
              <w:rPr>
                <w:rFonts w:ascii="Times New Roman" w:hAnsi="Times New Roman" w:cs="Times New Roman"/>
                <w:lang w:eastAsia="zh-CN"/>
              </w:rPr>
              <w:t xml:space="preserve">According to the UE transmit timing requirements (section 7.1, TS 38.133) in endorsed CR (R4-2005374), for the UE operating in scenario B or in scenario C, if a reference cell in a cell group (CG) is unavailable at the UE for more than 160 </w:t>
            </w:r>
            <w:proofErr w:type="spellStart"/>
            <w:r>
              <w:rPr>
                <w:rFonts w:ascii="Times New Roman" w:hAnsi="Times New Roman" w:cs="Times New Roman"/>
                <w:lang w:eastAsia="zh-CN"/>
              </w:rPr>
              <w:t>ms</w:t>
            </w:r>
            <w:proofErr w:type="spellEnd"/>
            <w:r>
              <w:rPr>
                <w:rFonts w:ascii="Times New Roman" w:hAnsi="Times New Roman" w:cs="Times New Roman"/>
                <w:lang w:eastAsia="zh-CN"/>
              </w:rPr>
              <w:t xml:space="preserve"> then the UE [can or shall] use any of the activated </w:t>
            </w:r>
            <w:proofErr w:type="spellStart"/>
            <w:r>
              <w:rPr>
                <w:rFonts w:ascii="Times New Roman" w:hAnsi="Times New Roman" w:cs="Times New Roman"/>
                <w:lang w:eastAsia="zh-CN"/>
              </w:rPr>
              <w:t>SCell</w:t>
            </w:r>
            <w:proofErr w:type="spellEnd"/>
            <w:r>
              <w:rPr>
                <w:rFonts w:ascii="Times New Roman" w:hAnsi="Times New Roman" w:cs="Times New Roman"/>
                <w:lang w:eastAsia="zh-CN"/>
              </w:rPr>
              <w:t>(s) as its reference cell for deriving its transmit timing.</w:t>
            </w:r>
          </w:p>
        </w:tc>
      </w:tr>
    </w:tbl>
    <w:p w14:paraId="5CCC4BFC" w14:textId="0D93A6E2" w:rsidR="00276489" w:rsidRDefault="00276489" w:rsidP="00276489">
      <w:pPr>
        <w:pStyle w:val="BodyText"/>
        <w:rPr>
          <w:lang w:eastAsia="ja-JP"/>
        </w:rPr>
      </w:pPr>
    </w:p>
    <w:p w14:paraId="493507B9" w14:textId="12E50BD3" w:rsidR="000B10B9" w:rsidRPr="00290A61" w:rsidRDefault="000B10B9" w:rsidP="00276489">
      <w:pPr>
        <w:pStyle w:val="BodyText"/>
        <w:rPr>
          <w:rFonts w:cs="Arial"/>
          <w:lang w:eastAsia="zh-CN"/>
        </w:rPr>
      </w:pPr>
      <w:r w:rsidRPr="008A5801">
        <w:rPr>
          <w:rFonts w:cs="Arial"/>
          <w:lang w:eastAsia="ja-JP"/>
        </w:rPr>
        <w:t xml:space="preserve">Further </w:t>
      </w:r>
      <w:r w:rsidRPr="00290A61">
        <w:rPr>
          <w:rFonts w:cs="Arial"/>
          <w:lang w:eastAsia="zh-CN"/>
        </w:rPr>
        <w:t>R4-2005374, introduces the following text in 38.133:</w:t>
      </w:r>
    </w:p>
    <w:tbl>
      <w:tblPr>
        <w:tblStyle w:val="TableGrid"/>
        <w:tblW w:w="0" w:type="auto"/>
        <w:tblLook w:val="04A0" w:firstRow="1" w:lastRow="0" w:firstColumn="1" w:lastColumn="0" w:noHBand="0" w:noVBand="1"/>
      </w:tblPr>
      <w:tblGrid>
        <w:gridCol w:w="9629"/>
      </w:tblGrid>
      <w:tr w:rsidR="000B10B9" w14:paraId="7C015593" w14:textId="77777777" w:rsidTr="000B10B9">
        <w:tc>
          <w:tcPr>
            <w:tcW w:w="9629" w:type="dxa"/>
          </w:tcPr>
          <w:p w14:paraId="0855E23E" w14:textId="77777777" w:rsidR="000B10B9" w:rsidRDefault="000B10B9" w:rsidP="000B10B9">
            <w:pPr>
              <w:pStyle w:val="TH"/>
              <w:jc w:val="left"/>
              <w:rPr>
                <w:rFonts w:ascii="Times New Roman" w:eastAsia="Times New Roman" w:hAnsi="Times New Roman" w:cs="Times New Roman"/>
                <w:b w:val="0"/>
                <w:sz w:val="20"/>
                <w:szCs w:val="20"/>
                <w:lang w:eastAsia="ko-KR"/>
              </w:rPr>
            </w:pPr>
            <w:r>
              <w:rPr>
                <w:rFonts w:ascii="Times New Roman" w:hAnsi="Times New Roman"/>
                <w:b w:val="0"/>
                <w:lang w:eastAsia="ko-KR"/>
              </w:rPr>
              <w:t xml:space="preserve">If the UE uses a reference cell on a carrier frequency subject to CCA for deriving the UE transmit timing, then the UE shall meet all the transmit timing requirements defined in section 7.1.2 provided that the reference cell is available at the UE during the last 160 </w:t>
            </w:r>
            <w:proofErr w:type="spellStart"/>
            <w:r>
              <w:rPr>
                <w:rFonts w:ascii="Times New Roman" w:hAnsi="Times New Roman"/>
                <w:b w:val="0"/>
                <w:lang w:eastAsia="ko-KR"/>
              </w:rPr>
              <w:t>ms.</w:t>
            </w:r>
            <w:proofErr w:type="spellEnd"/>
            <w:r>
              <w:rPr>
                <w:rFonts w:ascii="Times New Roman" w:hAnsi="Times New Roman"/>
                <w:b w:val="0"/>
                <w:lang w:eastAsia="ko-KR"/>
              </w:rPr>
              <w:t xml:space="preserve"> If the reference cell is unavailable at the UE during the last 160 </w:t>
            </w:r>
            <w:proofErr w:type="spellStart"/>
            <w:r>
              <w:rPr>
                <w:rFonts w:ascii="Times New Roman" w:hAnsi="Times New Roman"/>
                <w:b w:val="0"/>
                <w:lang w:eastAsia="ko-KR"/>
              </w:rPr>
              <w:t>ms</w:t>
            </w:r>
            <w:proofErr w:type="spellEnd"/>
            <w:r>
              <w:rPr>
                <w:rFonts w:ascii="Times New Roman" w:hAnsi="Times New Roman"/>
                <w:b w:val="0"/>
                <w:lang w:eastAsia="ko-KR"/>
              </w:rPr>
              <w:t xml:space="preserve"> on a carrier frequency subject to CCA, then the UE is allowed to transmit in the uplink provided that the UE meets all the transmit timing requirements defined in section 7.1.2; otherwise the UE shall not transmit any uplink signal.</w:t>
            </w:r>
          </w:p>
          <w:p w14:paraId="61D519CC" w14:textId="77777777" w:rsidR="000B10B9" w:rsidRDefault="000B10B9" w:rsidP="000B10B9">
            <w:pPr>
              <w:pStyle w:val="TH"/>
              <w:jc w:val="left"/>
              <w:rPr>
                <w:rFonts w:ascii="Times New Roman" w:hAnsi="Times New Roman"/>
                <w:b w:val="0"/>
                <w:lang w:eastAsia="ko-KR"/>
              </w:rPr>
            </w:pPr>
            <w:r>
              <w:rPr>
                <w:rFonts w:ascii="Times New Roman" w:hAnsi="Times New Roman"/>
                <w:b w:val="0"/>
                <w:lang w:eastAsia="ko-KR"/>
              </w:rPr>
              <w:t xml:space="preserve">If a reference cell on a carrier frequency belonging to the PTAG, which is subject to CCA, is unavailable at the UE for more than 160 </w:t>
            </w:r>
            <w:proofErr w:type="spellStart"/>
            <w:r>
              <w:rPr>
                <w:rFonts w:ascii="Times New Roman" w:hAnsi="Times New Roman"/>
                <w:b w:val="0"/>
                <w:lang w:eastAsia="ko-KR"/>
              </w:rPr>
              <w:t>ms</w:t>
            </w:r>
            <w:proofErr w:type="spellEnd"/>
            <w:r>
              <w:rPr>
                <w:rFonts w:ascii="Times New Roman" w:hAnsi="Times New Roman"/>
                <w:b w:val="0"/>
                <w:lang w:eastAsia="ko-KR"/>
              </w:rPr>
              <w:t xml:space="preserve"> then the UE [is allowed or shall] use any of available activated </w:t>
            </w:r>
            <w:proofErr w:type="spellStart"/>
            <w:r>
              <w:rPr>
                <w:rFonts w:ascii="Times New Roman" w:hAnsi="Times New Roman"/>
                <w:b w:val="0"/>
                <w:lang w:eastAsia="ko-KR"/>
              </w:rPr>
              <w:t>SCell</w:t>
            </w:r>
            <w:proofErr w:type="spellEnd"/>
            <w:r>
              <w:rPr>
                <w:rFonts w:ascii="Times New Roman" w:hAnsi="Times New Roman"/>
                <w:b w:val="0"/>
                <w:lang w:eastAsia="ko-KR"/>
              </w:rPr>
              <w:t xml:space="preserve">(s) at the UE in PTAG as a new reference cell. </w:t>
            </w:r>
          </w:p>
          <w:p w14:paraId="474B8691" w14:textId="77777777" w:rsidR="000B10B9" w:rsidRDefault="000B10B9" w:rsidP="000B10B9">
            <w:pPr>
              <w:pStyle w:val="TH"/>
              <w:spacing w:after="240"/>
              <w:jc w:val="left"/>
              <w:rPr>
                <w:rFonts w:ascii="Times New Roman" w:hAnsi="Times New Roman"/>
                <w:b w:val="0"/>
                <w:lang w:eastAsia="ko-KR"/>
              </w:rPr>
            </w:pPr>
            <w:r>
              <w:rPr>
                <w:rFonts w:ascii="Times New Roman" w:hAnsi="Times New Roman"/>
                <w:b w:val="0"/>
                <w:lang w:eastAsia="ko-KR"/>
              </w:rPr>
              <w:t xml:space="preserve">If a reference cell on a carrier frequency belonging to the STAG, which is subject to CCA is unavailable at the UE for more than 160 </w:t>
            </w:r>
            <w:proofErr w:type="spellStart"/>
            <w:r>
              <w:rPr>
                <w:rFonts w:ascii="Times New Roman" w:hAnsi="Times New Roman"/>
                <w:b w:val="0"/>
                <w:lang w:eastAsia="ko-KR"/>
              </w:rPr>
              <w:t>ms</w:t>
            </w:r>
            <w:proofErr w:type="spellEnd"/>
            <w:r>
              <w:rPr>
                <w:rFonts w:ascii="Times New Roman" w:hAnsi="Times New Roman"/>
                <w:b w:val="0"/>
                <w:lang w:eastAsia="ko-KR"/>
              </w:rPr>
              <w:t xml:space="preserve"> then the UE [is allowed or shall] use any of available activated </w:t>
            </w:r>
            <w:proofErr w:type="spellStart"/>
            <w:r>
              <w:rPr>
                <w:rFonts w:ascii="Times New Roman" w:hAnsi="Times New Roman"/>
                <w:b w:val="0"/>
                <w:lang w:eastAsia="ko-KR"/>
              </w:rPr>
              <w:t>SCell</w:t>
            </w:r>
            <w:proofErr w:type="spellEnd"/>
            <w:r>
              <w:rPr>
                <w:rFonts w:ascii="Times New Roman" w:hAnsi="Times New Roman"/>
                <w:b w:val="0"/>
                <w:lang w:eastAsia="ko-KR"/>
              </w:rPr>
              <w:t>(s) at the UE in STAG as a new reference cell.</w:t>
            </w:r>
          </w:p>
          <w:p w14:paraId="37765240" w14:textId="77777777" w:rsidR="000B10B9" w:rsidRDefault="000B10B9" w:rsidP="000B10B9">
            <w:pPr>
              <w:rPr>
                <w:rFonts w:ascii="Times New Roman" w:hAnsi="Times New Roman"/>
                <w:i/>
              </w:rPr>
            </w:pPr>
            <w:r>
              <w:rPr>
                <w:i/>
              </w:rPr>
              <w:t>Editor Note: FFS whether and how to clarify “a cell is available/unavailable” with the condition of SSB</w:t>
            </w:r>
          </w:p>
          <w:p w14:paraId="78C6C1AF" w14:textId="62046792" w:rsidR="000B10B9" w:rsidRDefault="000B10B9" w:rsidP="00290A61">
            <w:pPr>
              <w:rPr>
                <w:lang w:eastAsia="ja-JP"/>
              </w:rPr>
            </w:pPr>
            <w:r>
              <w:rPr>
                <w:i/>
              </w:rPr>
              <w:t>Editor Note: further change is pending on RAN1's input on UE changing the timing reference cell, if any</w:t>
            </w:r>
          </w:p>
        </w:tc>
      </w:tr>
    </w:tbl>
    <w:p w14:paraId="7DD23802" w14:textId="77777777" w:rsidR="000B10B9" w:rsidRDefault="000B10B9" w:rsidP="00276489">
      <w:pPr>
        <w:pStyle w:val="BodyText"/>
        <w:rPr>
          <w:lang w:eastAsia="ja-JP"/>
        </w:rPr>
      </w:pPr>
    </w:p>
    <w:p w14:paraId="13DC4FC8" w14:textId="77777777" w:rsidR="000B10B9" w:rsidRDefault="00276489" w:rsidP="000B10B9">
      <w:pPr>
        <w:pStyle w:val="BodyText"/>
        <w:rPr>
          <w:lang w:eastAsia="ja-JP"/>
        </w:rPr>
      </w:pPr>
      <w:r>
        <w:rPr>
          <w:lang w:eastAsia="ja-JP"/>
        </w:rPr>
        <w:t xml:space="preserve">RAN4 asks RAN1 to take the above information into account. </w:t>
      </w:r>
    </w:p>
    <w:p w14:paraId="0AD43BF4" w14:textId="6182187E" w:rsidR="000B10B9" w:rsidRDefault="00276489" w:rsidP="000B10B9">
      <w:pPr>
        <w:pStyle w:val="BodyText"/>
        <w:rPr>
          <w:lang w:eastAsia="ja-JP"/>
        </w:rPr>
      </w:pPr>
      <w:r>
        <w:rPr>
          <w:lang w:eastAsia="ja-JP"/>
        </w:rPr>
        <w:t>According to our understanding</w:t>
      </w:r>
      <w:r w:rsidR="000B10B9">
        <w:rPr>
          <w:lang w:eastAsia="ja-JP"/>
        </w:rPr>
        <w:t xml:space="preserve"> the UE is already allowed to choose reference cell for the STAG according to the following paragraph in 38.133 §7.1.1:</w:t>
      </w:r>
    </w:p>
    <w:tbl>
      <w:tblPr>
        <w:tblStyle w:val="TableGrid"/>
        <w:tblW w:w="0" w:type="auto"/>
        <w:tblLook w:val="04A0" w:firstRow="1" w:lastRow="0" w:firstColumn="1" w:lastColumn="0" w:noHBand="0" w:noVBand="1"/>
      </w:tblPr>
      <w:tblGrid>
        <w:gridCol w:w="9629"/>
      </w:tblGrid>
      <w:tr w:rsidR="000B10B9" w14:paraId="283E1958" w14:textId="77777777" w:rsidTr="000B10B9">
        <w:tc>
          <w:tcPr>
            <w:tcW w:w="9629" w:type="dxa"/>
          </w:tcPr>
          <w:p w14:paraId="0B391743" w14:textId="29D138A3" w:rsidR="000B10B9" w:rsidRPr="00290A61" w:rsidRDefault="000B10B9" w:rsidP="00290A61">
            <w:pPr>
              <w:spacing w:after="180" w:line="240" w:lineRule="auto"/>
              <w:rPr>
                <w:lang w:val="en-GB" w:eastAsia="ja-JP"/>
              </w:rPr>
            </w:pPr>
            <w:r w:rsidRPr="00290A61">
              <w:rPr>
                <w:rFonts w:ascii="Times New Roman" w:eastAsia="SimSun" w:hAnsi="Times New Roman" w:cs="v4.2.0"/>
                <w:lang w:val="en-GB"/>
              </w:rPr>
              <w:t xml:space="preserve">The UE shall have capability to follow the frame timing change of the </w:t>
            </w:r>
            <w:r w:rsidRPr="00290A61">
              <w:rPr>
                <w:rFonts w:ascii="Times New Roman" w:eastAsia="SimSun" w:hAnsi="Times New Roman" w:cs="Times New Roman"/>
                <w:lang w:val="en-GB"/>
              </w:rPr>
              <w:t>reference cell</w:t>
            </w:r>
            <w:r w:rsidRPr="00290A61">
              <w:rPr>
                <w:rFonts w:ascii="Times New Roman" w:eastAsia="SimSun" w:hAnsi="Times New Roman" w:cs="v4.2.0"/>
                <w:lang w:val="en-GB"/>
              </w:rPr>
              <w:t xml:space="preserve"> in connected </w:t>
            </w:r>
            <w:r w:rsidRPr="00290A61">
              <w:rPr>
                <w:rFonts w:ascii="Times New Roman" w:eastAsia="SimSun" w:hAnsi="Times New Roman" w:cs="Times New Roman"/>
                <w:lang w:val="en-GB"/>
              </w:rPr>
              <w:t>state</w:t>
            </w:r>
            <w:r w:rsidRPr="00290A61">
              <w:rPr>
                <w:rFonts w:ascii="Times New Roman" w:eastAsia="SimSun" w:hAnsi="Times New Roman" w:cs="v4.2.0"/>
                <w:lang w:val="en-GB"/>
              </w:rPr>
              <w:t>. The uplink frame transmission takes place</w:t>
            </w:r>
            <w:r w:rsidRPr="00290A61">
              <w:rPr>
                <w:rFonts w:ascii="Times New Roman" w:eastAsia="SimSun" w:hAnsi="Times New Roman" w:cs="v4.2.0"/>
                <w:vertAlign w:val="subscript"/>
                <w:lang w:val="en-GB"/>
              </w:rPr>
              <w:t xml:space="preserve"> </w:t>
            </w:r>
            <w:r w:rsidRPr="00290A61">
              <w:rPr>
                <w:rFonts w:ascii="Times New Roman" w:eastAsia="SimSun" w:hAnsi="Times New Roman" w:cs="Times New Roman"/>
                <w:position w:val="-10"/>
                <w:lang w:val="en-GB"/>
              </w:rPr>
              <w:object w:dxaOrig="1785" w:dyaOrig="240" w14:anchorId="3B0360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2pt" o:ole="">
                  <v:imagedata r:id="rId11" o:title=""/>
                </v:shape>
                <o:OLEObject Type="Embed" ProgID="Equation.3" ShapeID="_x0000_i1025" DrawAspect="Content" ObjectID="_1651083224" r:id="rId12"/>
              </w:object>
            </w:r>
            <w:r w:rsidRPr="00290A61">
              <w:rPr>
                <w:rFonts w:ascii="Times New Roman" w:eastAsia="SimSun" w:hAnsi="Times New Roman" w:cs="v4.2.0"/>
                <w:lang w:val="en-GB"/>
              </w:rPr>
              <w:t xml:space="preserve"> before the reception of the first detected path (in time) of the corresponding downlink frame</w:t>
            </w:r>
            <w:r w:rsidRPr="00290A61">
              <w:rPr>
                <w:rFonts w:ascii="Times New Roman" w:eastAsia="SimSun" w:hAnsi="Times New Roman" w:cs="Times New Roman"/>
                <w:lang w:val="en-GB"/>
              </w:rPr>
              <w:t xml:space="preserve"> from the reference cell. For </w:t>
            </w:r>
            <w:r w:rsidRPr="00290A61">
              <w:rPr>
                <w:rFonts w:ascii="Times New Roman" w:eastAsia="SimSun" w:hAnsi="Times New Roman" w:cs="Times New Roman"/>
                <w:lang w:val="en-GB" w:eastAsia="ja-JP"/>
              </w:rPr>
              <w:t xml:space="preserve">serving cell(s) in </w:t>
            </w:r>
            <w:r w:rsidRPr="00290A61">
              <w:rPr>
                <w:rFonts w:ascii="Times New Roman" w:eastAsia="SimSun" w:hAnsi="Times New Roman" w:cs="Times New Roman"/>
                <w:lang w:val="en-GB"/>
              </w:rPr>
              <w:t>PTAG,</w:t>
            </w:r>
            <w:r w:rsidRPr="00290A61">
              <w:rPr>
                <w:rFonts w:ascii="Times New Roman" w:eastAsia="SimSun" w:hAnsi="Times New Roman" w:cs="v4.2.0"/>
                <w:lang w:val="en-GB"/>
              </w:rPr>
              <w:t xml:space="preserve"> </w:t>
            </w:r>
            <w:r w:rsidRPr="00290A61">
              <w:rPr>
                <w:rFonts w:ascii="Times New Roman" w:eastAsia="SimSun" w:hAnsi="Times New Roman" w:cs="Times New Roman"/>
                <w:lang w:val="en-GB"/>
              </w:rPr>
              <w:t xml:space="preserve">UE shall use the </w:t>
            </w:r>
            <w:proofErr w:type="spellStart"/>
            <w:r w:rsidRPr="00290A61">
              <w:rPr>
                <w:rFonts w:ascii="Times New Roman" w:eastAsia="SimSun" w:hAnsi="Times New Roman" w:cs="Times New Roman"/>
                <w:lang w:val="en-GB"/>
              </w:rPr>
              <w:t>SpCell</w:t>
            </w:r>
            <w:proofErr w:type="spellEnd"/>
            <w:r w:rsidRPr="00290A61">
              <w:rPr>
                <w:rFonts w:ascii="Times New Roman" w:eastAsia="SimSun" w:hAnsi="Times New Roman" w:cs="Times New Roman"/>
                <w:lang w:val="en-GB"/>
              </w:rPr>
              <w:t xml:space="preserve"> as the reference cell for deriving the UE transmit timing for cells in the PTAG. </w:t>
            </w:r>
            <w:r w:rsidRPr="00290A61">
              <w:rPr>
                <w:rFonts w:ascii="Times New Roman" w:eastAsia="SimSun" w:hAnsi="Times New Roman" w:cs="Times New Roman"/>
                <w:highlight w:val="yellow"/>
                <w:lang w:val="en-GB" w:eastAsia="ja-JP"/>
              </w:rPr>
              <w:t xml:space="preserve">For serving cell(s) in STAG, </w:t>
            </w:r>
            <w:r w:rsidRPr="00290A61">
              <w:rPr>
                <w:rFonts w:ascii="Times New Roman" w:eastAsia="SimSun" w:hAnsi="Times New Roman" w:cs="Times New Roman"/>
                <w:highlight w:val="yellow"/>
                <w:lang w:val="en-GB"/>
              </w:rPr>
              <w:t xml:space="preserve">UE shall use any of the </w:t>
            </w:r>
            <w:r w:rsidRPr="00290A61">
              <w:rPr>
                <w:rFonts w:ascii="Times New Roman" w:eastAsia="SimSun" w:hAnsi="Times New Roman" w:cs="Times New Roman"/>
                <w:highlight w:val="yellow"/>
                <w:lang w:val="en-GB" w:eastAsia="ja-JP"/>
              </w:rPr>
              <w:t xml:space="preserve">activated </w:t>
            </w:r>
            <w:proofErr w:type="spellStart"/>
            <w:r w:rsidRPr="00290A61">
              <w:rPr>
                <w:rFonts w:ascii="Times New Roman" w:eastAsia="SimSun" w:hAnsi="Times New Roman" w:cs="Times New Roman"/>
                <w:highlight w:val="yellow"/>
                <w:lang w:val="en-GB" w:eastAsia="ja-JP"/>
              </w:rPr>
              <w:t>SCells</w:t>
            </w:r>
            <w:proofErr w:type="spellEnd"/>
            <w:r w:rsidRPr="00290A61">
              <w:rPr>
                <w:rFonts w:ascii="Times New Roman" w:eastAsia="SimSun" w:hAnsi="Times New Roman" w:cs="Times New Roman"/>
                <w:highlight w:val="yellow"/>
                <w:lang w:val="en-GB" w:eastAsia="ja-JP"/>
              </w:rPr>
              <w:t xml:space="preserve"> </w:t>
            </w:r>
            <w:r w:rsidRPr="00290A61">
              <w:rPr>
                <w:rFonts w:ascii="Times New Roman" w:eastAsia="SimSun" w:hAnsi="Times New Roman" w:cs="Times New Roman"/>
                <w:highlight w:val="yellow"/>
                <w:lang w:val="en-GB"/>
              </w:rPr>
              <w:t xml:space="preserve">as the reference cell for deriving the UE transmit timing for </w:t>
            </w:r>
            <w:r w:rsidRPr="00290A61">
              <w:rPr>
                <w:rFonts w:ascii="Times New Roman" w:eastAsia="SimSun" w:hAnsi="Times New Roman" w:cs="Times New Roman"/>
                <w:highlight w:val="yellow"/>
                <w:lang w:val="en-GB" w:eastAsia="ja-JP"/>
              </w:rPr>
              <w:t xml:space="preserve">the </w:t>
            </w:r>
            <w:r w:rsidRPr="00290A61">
              <w:rPr>
                <w:rFonts w:ascii="Times New Roman" w:eastAsia="SimSun" w:hAnsi="Times New Roman" w:cs="Times New Roman"/>
                <w:highlight w:val="yellow"/>
                <w:lang w:val="en-GB"/>
              </w:rPr>
              <w:t xml:space="preserve">cells in the </w:t>
            </w:r>
            <w:r w:rsidRPr="00290A61">
              <w:rPr>
                <w:rFonts w:ascii="Times New Roman" w:eastAsia="SimSun" w:hAnsi="Times New Roman" w:cs="Times New Roman"/>
                <w:highlight w:val="yellow"/>
                <w:lang w:val="en-GB" w:eastAsia="ja-JP"/>
              </w:rPr>
              <w:t>S</w:t>
            </w:r>
            <w:r w:rsidRPr="00290A61">
              <w:rPr>
                <w:rFonts w:ascii="Times New Roman" w:eastAsia="SimSun" w:hAnsi="Times New Roman" w:cs="Times New Roman"/>
                <w:highlight w:val="yellow"/>
                <w:lang w:val="en-GB"/>
              </w:rPr>
              <w:t>TAG</w:t>
            </w:r>
            <w:r w:rsidRPr="00290A61">
              <w:rPr>
                <w:rFonts w:ascii="Times New Roman" w:eastAsia="SimSun" w:hAnsi="Times New Roman" w:cs="Times New Roman"/>
                <w:lang w:val="en-GB"/>
              </w:rPr>
              <w:t xml:space="preserve">. </w:t>
            </w:r>
            <w:r w:rsidRPr="00290A61">
              <w:rPr>
                <w:rFonts w:ascii="Times New Roman" w:eastAsia="SimSun" w:hAnsi="Times New Roman" w:cs="v4.2.0"/>
                <w:lang w:val="en-GB"/>
              </w:rPr>
              <w:t xml:space="preserve">UE initial </w:t>
            </w:r>
            <w:proofErr w:type="gramStart"/>
            <w:r w:rsidRPr="00290A61">
              <w:rPr>
                <w:rFonts w:ascii="Times New Roman" w:eastAsia="SimSun" w:hAnsi="Times New Roman" w:cs="v4.2.0"/>
                <w:lang w:val="en-GB"/>
              </w:rPr>
              <w:t>transmit</w:t>
            </w:r>
            <w:proofErr w:type="gramEnd"/>
            <w:r w:rsidRPr="00290A61">
              <w:rPr>
                <w:rFonts w:ascii="Times New Roman" w:eastAsia="SimSun" w:hAnsi="Times New Roman" w:cs="v4.2.0"/>
                <w:lang w:val="en-GB"/>
              </w:rPr>
              <w:t xml:space="preserve"> timing accuracy, </w:t>
            </w:r>
            <w:r w:rsidRPr="00290A61">
              <w:rPr>
                <w:rFonts w:ascii="Times New Roman" w:eastAsia="SimSun" w:hAnsi="Times New Roman" w:cs="Times New Roman"/>
                <w:lang w:val="en-GB"/>
              </w:rPr>
              <w:t>gradual timing adjustment requirements and</w:t>
            </w:r>
            <w:r w:rsidRPr="00290A61">
              <w:rPr>
                <w:rFonts w:ascii="Times New Roman" w:eastAsia="SimSun" w:hAnsi="Times New Roman" w:cs="v4.2.0"/>
                <w:lang w:val="en-GB"/>
              </w:rPr>
              <w:t xml:space="preserve"> </w:t>
            </w:r>
            <w:r w:rsidRPr="00290A61">
              <w:rPr>
                <w:rFonts w:ascii="Times New Roman" w:eastAsia="SimSun" w:hAnsi="Times New Roman" w:cs="Times New Roman"/>
                <w:lang w:val="en-GB"/>
              </w:rPr>
              <w:t>one shot timing adjustment requirements</w:t>
            </w:r>
            <w:r w:rsidRPr="00290A61">
              <w:rPr>
                <w:rFonts w:ascii="Times New Roman" w:eastAsia="SimSun" w:hAnsi="Times New Roman" w:cs="v4.2.0"/>
                <w:lang w:val="en-GB"/>
              </w:rPr>
              <w:t xml:space="preserve"> are defined in the following requirements.</w:t>
            </w:r>
          </w:p>
        </w:tc>
      </w:tr>
    </w:tbl>
    <w:p w14:paraId="5913AB35" w14:textId="77777777" w:rsidR="000B10B9" w:rsidRDefault="000B10B9" w:rsidP="000B10B9">
      <w:pPr>
        <w:pStyle w:val="BodyText"/>
        <w:rPr>
          <w:lang w:eastAsia="ja-JP"/>
        </w:rPr>
      </w:pPr>
    </w:p>
    <w:p w14:paraId="766F50DF" w14:textId="1617F98A" w:rsidR="00276489" w:rsidRDefault="00276489" w:rsidP="00290A61">
      <w:pPr>
        <w:jc w:val="both"/>
        <w:rPr>
          <w:lang w:eastAsia="ja-JP"/>
        </w:rPr>
      </w:pPr>
      <w:r>
        <w:rPr>
          <w:lang w:eastAsia="ja-JP"/>
        </w:rPr>
        <w:t xml:space="preserve"> </w:t>
      </w:r>
      <w:proofErr w:type="gramStart"/>
      <w:r w:rsidR="000B10B9" w:rsidRPr="00290A61">
        <w:rPr>
          <w:rFonts w:ascii="Arial" w:hAnsi="Arial" w:cs="Arial"/>
          <w:lang w:eastAsia="ja-JP"/>
        </w:rPr>
        <w:t>Thus</w:t>
      </w:r>
      <w:proofErr w:type="gramEnd"/>
      <w:r w:rsidR="000B10B9" w:rsidRPr="00290A61">
        <w:rPr>
          <w:rFonts w:ascii="Arial" w:hAnsi="Arial" w:cs="Arial"/>
          <w:lang w:eastAsia="ja-JP"/>
        </w:rPr>
        <w:t xml:space="preserve"> we don’t see any impact </w:t>
      </w:r>
      <w:r w:rsidR="00232712" w:rsidRPr="00290A61">
        <w:rPr>
          <w:rFonts w:ascii="Arial" w:hAnsi="Arial" w:cs="Arial"/>
          <w:lang w:eastAsia="ja-JP"/>
        </w:rPr>
        <w:t xml:space="preserve">of the new RAN4 agreement </w:t>
      </w:r>
      <w:r w:rsidR="000B10B9" w:rsidRPr="00290A61">
        <w:rPr>
          <w:rFonts w:ascii="Arial" w:hAnsi="Arial" w:cs="Arial"/>
          <w:lang w:eastAsia="ja-JP"/>
        </w:rPr>
        <w:t>on RAN1 specifications.</w:t>
      </w:r>
    </w:p>
    <w:p w14:paraId="34FFC1A3" w14:textId="4452FC83" w:rsidR="00276489" w:rsidRDefault="0090511C" w:rsidP="00290A61">
      <w:pPr>
        <w:pStyle w:val="Observation"/>
      </w:pPr>
      <w:bookmarkStart w:id="8" w:name="_Toc40463380"/>
      <w:r>
        <w:t>The RAN4 agreement on timing reference cell adjustment does not have any impact on RAN</w:t>
      </w:r>
      <w:r w:rsidR="00601902">
        <w:t>1</w:t>
      </w:r>
      <w:r>
        <w:t xml:space="preserve"> specifications.</w:t>
      </w:r>
      <w:bookmarkEnd w:id="8"/>
    </w:p>
    <w:p w14:paraId="63238733" w14:textId="77777777" w:rsidR="00A14A0A" w:rsidRDefault="00A14A0A">
      <w:pPr>
        <w:pStyle w:val="BodyText"/>
        <w:rPr>
          <w:lang w:eastAsia="ja-JP"/>
        </w:rPr>
      </w:pPr>
    </w:p>
    <w:p w14:paraId="4A65A391" w14:textId="3EADFB4B" w:rsidR="00A14A0A" w:rsidRDefault="009C59CE" w:rsidP="009C59CE">
      <w:pPr>
        <w:pStyle w:val="Heading2"/>
        <w:rPr>
          <w:rFonts w:cs="Arial"/>
          <w:bCs/>
          <w:color w:val="000000"/>
        </w:rPr>
      </w:pPr>
      <w:r>
        <w:t>2.</w:t>
      </w:r>
      <w:r w:rsidR="007A7D4F">
        <w:t>3</w:t>
      </w:r>
      <w:r>
        <w:tab/>
      </w:r>
      <w:r w:rsidR="007A7D4F">
        <w:t xml:space="preserve">RAN4 LS: </w:t>
      </w:r>
      <w:r>
        <w:rPr>
          <w:rFonts w:cs="Arial"/>
          <w:bCs/>
          <w:color w:val="000000"/>
        </w:rPr>
        <w:t>UE declaring beam failure due to LBT failures during active TCI switching</w:t>
      </w:r>
    </w:p>
    <w:p w14:paraId="1D27BCD9" w14:textId="338E390C" w:rsidR="009C59CE" w:rsidRPr="00290A61" w:rsidRDefault="00046554" w:rsidP="009C59CE">
      <w:pPr>
        <w:rPr>
          <w:rFonts w:ascii="Arial" w:hAnsi="Arial" w:cs="Arial"/>
          <w:lang w:val="en-GB" w:eastAsia="ja-JP"/>
        </w:rPr>
      </w:pPr>
      <w:r w:rsidRPr="00290A61">
        <w:rPr>
          <w:rFonts w:ascii="Arial" w:hAnsi="Arial" w:cs="Arial"/>
          <w:lang w:val="en-GB" w:eastAsia="ja-JP"/>
        </w:rPr>
        <w:t xml:space="preserve">In RAN4#94-e-bis RAN4 discussed UE behaviour in case of LBT failure during active TCI switching </w:t>
      </w:r>
      <w:r w:rsidR="002723D1" w:rsidRPr="00290A61">
        <w:rPr>
          <w:rFonts w:ascii="Arial" w:hAnsi="Arial" w:cs="Arial"/>
          <w:lang w:val="en-GB" w:eastAsia="ja-JP"/>
        </w:rPr>
        <w:fldChar w:fldCharType="begin"/>
      </w:r>
      <w:r w:rsidR="002723D1" w:rsidRPr="00290A61">
        <w:rPr>
          <w:rFonts w:ascii="Arial" w:hAnsi="Arial" w:cs="Arial"/>
          <w:lang w:val="en-GB" w:eastAsia="ja-JP"/>
        </w:rPr>
        <w:instrText xml:space="preserve"> REF _Ref40257691 \r \h </w:instrText>
      </w:r>
      <w:r w:rsidR="00CD2708">
        <w:rPr>
          <w:rFonts w:ascii="Arial" w:hAnsi="Arial" w:cs="Arial"/>
          <w:lang w:val="en-GB" w:eastAsia="ja-JP"/>
        </w:rPr>
        <w:instrText xml:space="preserve"> \* MERGEFORMAT </w:instrText>
      </w:r>
      <w:r w:rsidR="002723D1" w:rsidRPr="00290A61">
        <w:rPr>
          <w:rFonts w:ascii="Arial" w:hAnsi="Arial" w:cs="Arial"/>
          <w:lang w:val="en-GB" w:eastAsia="ja-JP"/>
        </w:rPr>
      </w:r>
      <w:r w:rsidR="002723D1" w:rsidRPr="00290A61">
        <w:rPr>
          <w:rFonts w:ascii="Arial" w:hAnsi="Arial" w:cs="Arial"/>
          <w:lang w:val="en-GB" w:eastAsia="ja-JP"/>
        </w:rPr>
        <w:fldChar w:fldCharType="separate"/>
      </w:r>
      <w:r w:rsidR="00AB4A5D">
        <w:rPr>
          <w:rFonts w:ascii="Arial" w:hAnsi="Arial" w:cs="Arial"/>
          <w:lang w:val="en-GB" w:eastAsia="ja-JP"/>
        </w:rPr>
        <w:t>[9]</w:t>
      </w:r>
      <w:r w:rsidR="002723D1" w:rsidRPr="00290A61">
        <w:rPr>
          <w:rFonts w:ascii="Arial" w:hAnsi="Arial" w:cs="Arial"/>
          <w:lang w:val="en-GB" w:eastAsia="ja-JP"/>
        </w:rPr>
        <w:fldChar w:fldCharType="end"/>
      </w:r>
      <w:r w:rsidRPr="00290A61">
        <w:rPr>
          <w:rFonts w:ascii="Arial" w:hAnsi="Arial" w:cs="Arial"/>
          <w:lang w:val="en-GB" w:eastAsia="ja-JP"/>
        </w:rPr>
        <w:t xml:space="preserve">. </w:t>
      </w:r>
      <w:r w:rsidR="002723D1" w:rsidRPr="00290A61">
        <w:rPr>
          <w:rFonts w:ascii="Arial" w:hAnsi="Arial" w:cs="Arial"/>
          <w:lang w:val="en-GB" w:eastAsia="ja-JP"/>
        </w:rPr>
        <w:t xml:space="preserve">It was discussed </w:t>
      </w:r>
      <w:r w:rsidR="00136711" w:rsidRPr="00290A61">
        <w:rPr>
          <w:rFonts w:ascii="Arial" w:hAnsi="Arial" w:cs="Arial"/>
          <w:lang w:val="en-GB" w:eastAsia="ja-JP"/>
        </w:rPr>
        <w:t xml:space="preserve">whether a UE shall declare beam failure in case of LBT failures when configured with RRC-based active TCI state switching. </w:t>
      </w:r>
    </w:p>
    <w:p w14:paraId="69176EE8" w14:textId="2F63A061" w:rsidR="00136711" w:rsidRDefault="00136711" w:rsidP="009C59CE">
      <w:pPr>
        <w:rPr>
          <w:lang w:val="en-GB" w:eastAsia="ja-JP"/>
        </w:rPr>
      </w:pPr>
      <w:r w:rsidRPr="00290A61">
        <w:rPr>
          <w:rFonts w:ascii="Arial" w:hAnsi="Arial" w:cs="Arial"/>
          <w:lang w:val="en-GB" w:eastAsia="ja-JP"/>
        </w:rPr>
        <w:t>In case a UE is configured with an R</w:t>
      </w:r>
      <w:r w:rsidR="00B10067" w:rsidRPr="00290A61">
        <w:rPr>
          <w:rFonts w:ascii="Arial" w:hAnsi="Arial" w:cs="Arial"/>
          <w:lang w:val="en-GB" w:eastAsia="ja-JP"/>
        </w:rPr>
        <w:t>R</w:t>
      </w:r>
      <w:r w:rsidRPr="00290A61">
        <w:rPr>
          <w:rFonts w:ascii="Arial" w:hAnsi="Arial" w:cs="Arial"/>
          <w:lang w:val="en-GB" w:eastAsia="ja-JP"/>
        </w:rPr>
        <w:t>C-based TCI state switch</w:t>
      </w:r>
      <w:r w:rsidR="00601902" w:rsidRPr="00290A61">
        <w:rPr>
          <w:rFonts w:ascii="Arial" w:hAnsi="Arial" w:cs="Arial"/>
          <w:lang w:val="en-GB" w:eastAsia="ja-JP"/>
        </w:rPr>
        <w:t xml:space="preserve"> (occurs for PDCCH, only if single TCI state is configured)</w:t>
      </w:r>
      <w:r w:rsidR="00B10067" w:rsidRPr="00290A61">
        <w:rPr>
          <w:rFonts w:ascii="Arial" w:hAnsi="Arial" w:cs="Arial"/>
          <w:lang w:val="en-GB" w:eastAsia="ja-JP"/>
        </w:rPr>
        <w:t>, the UE will perform the TCI state switch and forget the old TCI state</w:t>
      </w:r>
      <w:r w:rsidR="00601902" w:rsidRPr="00290A61">
        <w:rPr>
          <w:rFonts w:ascii="Arial" w:hAnsi="Arial" w:cs="Arial"/>
          <w:lang w:val="en-GB" w:eastAsia="ja-JP"/>
        </w:rPr>
        <w:t xml:space="preserve"> upon RRC re-configuration</w:t>
      </w:r>
      <w:r w:rsidR="00B10067" w:rsidRPr="00290A61">
        <w:rPr>
          <w:rFonts w:ascii="Arial" w:hAnsi="Arial" w:cs="Arial"/>
          <w:lang w:val="en-GB" w:eastAsia="ja-JP"/>
        </w:rPr>
        <w:t xml:space="preserve">. If recurring LBT failures occur for </w:t>
      </w:r>
      <w:r w:rsidR="00067DD7" w:rsidRPr="00290A61">
        <w:rPr>
          <w:rFonts w:ascii="Arial" w:hAnsi="Arial" w:cs="Arial"/>
          <w:lang w:val="en-GB" w:eastAsia="ja-JP"/>
        </w:rPr>
        <w:t xml:space="preserve">CSI-RS or </w:t>
      </w:r>
      <w:r w:rsidR="00B10067" w:rsidRPr="00290A61">
        <w:rPr>
          <w:rFonts w:ascii="Arial" w:hAnsi="Arial" w:cs="Arial"/>
          <w:lang w:val="en-GB" w:eastAsia="ja-JP"/>
        </w:rPr>
        <w:t xml:space="preserve">SS/PBCH block transmissions for the new TCI state, the UE will not be able to </w:t>
      </w:r>
      <w:r w:rsidR="00003525" w:rsidRPr="00290A61">
        <w:rPr>
          <w:rFonts w:ascii="Arial" w:hAnsi="Arial" w:cs="Arial"/>
          <w:lang w:val="en-GB" w:eastAsia="ja-JP"/>
        </w:rPr>
        <w:t xml:space="preserve">receive </w:t>
      </w:r>
      <w:r w:rsidR="007C64B5" w:rsidRPr="00290A61">
        <w:rPr>
          <w:rFonts w:ascii="Arial" w:hAnsi="Arial" w:cs="Arial"/>
          <w:lang w:val="en-GB" w:eastAsia="ja-JP"/>
        </w:rPr>
        <w:t xml:space="preserve">any </w:t>
      </w:r>
      <w:proofErr w:type="spellStart"/>
      <w:r w:rsidR="007C64B5" w:rsidRPr="00290A61">
        <w:rPr>
          <w:rFonts w:ascii="Arial" w:hAnsi="Arial" w:cs="Arial"/>
          <w:lang w:val="en-GB" w:eastAsia="ja-JP"/>
        </w:rPr>
        <w:t>referece</w:t>
      </w:r>
      <w:proofErr w:type="spellEnd"/>
      <w:r w:rsidR="007C64B5" w:rsidRPr="00290A61">
        <w:rPr>
          <w:rFonts w:ascii="Arial" w:hAnsi="Arial" w:cs="Arial"/>
          <w:lang w:val="en-GB" w:eastAsia="ja-JP"/>
        </w:rPr>
        <w:t xml:space="preserve"> signals associated with </w:t>
      </w:r>
      <w:r w:rsidR="00003525" w:rsidRPr="00290A61">
        <w:rPr>
          <w:rFonts w:ascii="Arial" w:hAnsi="Arial" w:cs="Arial"/>
          <w:lang w:val="en-GB" w:eastAsia="ja-JP"/>
        </w:rPr>
        <w:t>the new TCI state</w:t>
      </w:r>
      <w:r w:rsidR="00067DD7" w:rsidRPr="00290A61">
        <w:rPr>
          <w:rFonts w:ascii="Arial" w:hAnsi="Arial" w:cs="Arial"/>
          <w:lang w:val="en-GB" w:eastAsia="ja-JP"/>
        </w:rPr>
        <w:t xml:space="preserve"> and the link quality will be declared to be below the configured threshold. </w:t>
      </w:r>
      <w:r w:rsidR="00601902" w:rsidRPr="00290A61">
        <w:rPr>
          <w:rFonts w:ascii="Arial" w:hAnsi="Arial" w:cs="Arial"/>
          <w:lang w:val="en-GB" w:eastAsia="ja-JP"/>
        </w:rPr>
        <w:t xml:space="preserve">The beam failure recovery mechanism specified in Rel-15 is a natural fit to handle this scenario. We don’t see any reason to complicate the specifications with a mechanism to falling back to a previously configured TCI state. Such a mechanism seems error prone in terms of </w:t>
      </w:r>
      <w:proofErr w:type="spellStart"/>
      <w:r w:rsidR="00601902" w:rsidRPr="00290A61">
        <w:rPr>
          <w:rFonts w:ascii="Arial" w:hAnsi="Arial" w:cs="Arial"/>
          <w:lang w:val="en-GB" w:eastAsia="ja-JP"/>
        </w:rPr>
        <w:t>gNB</w:t>
      </w:r>
      <w:proofErr w:type="spellEnd"/>
      <w:r w:rsidR="00601902" w:rsidRPr="00290A61">
        <w:rPr>
          <w:rFonts w:ascii="Arial" w:hAnsi="Arial" w:cs="Arial"/>
          <w:lang w:val="en-GB" w:eastAsia="ja-JP"/>
        </w:rPr>
        <w:t xml:space="preserve">-UE alignment in assumptions; moreover, it seems entirely </w:t>
      </w:r>
      <w:proofErr w:type="spellStart"/>
      <w:r w:rsidR="00601902" w:rsidRPr="00290A61">
        <w:rPr>
          <w:rFonts w:ascii="Arial" w:hAnsi="Arial" w:cs="Arial"/>
          <w:lang w:val="en-GB" w:eastAsia="ja-JP"/>
        </w:rPr>
        <w:t>uncessary</w:t>
      </w:r>
      <w:proofErr w:type="spellEnd"/>
      <w:r w:rsidR="00601902" w:rsidRPr="00290A61">
        <w:rPr>
          <w:rFonts w:ascii="Arial" w:hAnsi="Arial" w:cs="Arial"/>
          <w:lang w:val="en-GB" w:eastAsia="ja-JP"/>
        </w:rPr>
        <w:t xml:space="preserve"> when an existing mechanism is available.</w:t>
      </w:r>
    </w:p>
    <w:p w14:paraId="113C43D0" w14:textId="031D0248" w:rsidR="009C59CE" w:rsidRPr="00290A61" w:rsidRDefault="007C64B5" w:rsidP="009C59CE">
      <w:pPr>
        <w:pStyle w:val="Proposal"/>
        <w:rPr>
          <w:lang w:val="en-GB" w:eastAsia="ja-JP"/>
        </w:rPr>
      </w:pPr>
      <w:bookmarkStart w:id="9" w:name="_Toc40463386"/>
      <w:r>
        <w:rPr>
          <w:lang w:val="en-GB" w:eastAsia="ja-JP"/>
        </w:rPr>
        <w:t>Respond to RAN4 that the UE shall declare beam failure in case of LBT failures when configured with RRC-based active TCI state switching.</w:t>
      </w:r>
      <w:bookmarkEnd w:id="9"/>
      <w:r>
        <w:rPr>
          <w:lang w:val="en-GB" w:eastAsia="ja-JP"/>
        </w:rPr>
        <w:t xml:space="preserve"> </w:t>
      </w:r>
      <w:bookmarkStart w:id="10" w:name="_GoBack"/>
      <w:bookmarkEnd w:id="10"/>
    </w:p>
    <w:p w14:paraId="002C1BE2" w14:textId="10744AFC" w:rsidR="009C59CE" w:rsidRDefault="009C59CE" w:rsidP="009C59CE">
      <w:pPr>
        <w:pStyle w:val="Heading2"/>
      </w:pPr>
      <w:r>
        <w:t>2.</w:t>
      </w:r>
      <w:r w:rsidR="007A7D4F">
        <w:t>4</w:t>
      </w:r>
      <w:r>
        <w:tab/>
      </w:r>
      <w:r w:rsidR="007A7D4F">
        <w:t xml:space="preserve">RAN4 LS: </w:t>
      </w:r>
      <w:r w:rsidR="0014516C">
        <w:t>Transmit power of CSI-RS across different occasions</w:t>
      </w:r>
    </w:p>
    <w:p w14:paraId="264151AE" w14:textId="586D6D67" w:rsidR="00390FA0" w:rsidRPr="00290A61" w:rsidRDefault="0014516C" w:rsidP="0014516C">
      <w:pPr>
        <w:rPr>
          <w:rFonts w:ascii="Arial" w:hAnsi="Arial" w:cs="Arial"/>
        </w:rPr>
      </w:pPr>
      <w:r w:rsidRPr="00290A61">
        <w:rPr>
          <w:rFonts w:ascii="Arial" w:hAnsi="Arial" w:cs="Arial"/>
        </w:rPr>
        <w:t xml:space="preserve">In RAN4#94-e-bis RAN4 discussed transmit power of CSI-RS across different occasions and an LS was sent from RAN4 to RAN1 </w:t>
      </w:r>
      <w:r w:rsidRPr="00290A61">
        <w:rPr>
          <w:rFonts w:ascii="Arial" w:hAnsi="Arial" w:cs="Arial"/>
        </w:rPr>
        <w:fldChar w:fldCharType="begin"/>
      </w:r>
      <w:r w:rsidRPr="00290A61">
        <w:rPr>
          <w:rFonts w:ascii="Arial" w:hAnsi="Arial" w:cs="Arial"/>
        </w:rPr>
        <w:instrText xml:space="preserve"> REF _Ref40253215 \r \h </w:instrText>
      </w:r>
      <w:r w:rsidR="00CD2708">
        <w:rPr>
          <w:rFonts w:ascii="Arial" w:hAnsi="Arial" w:cs="Arial"/>
        </w:rPr>
        <w:instrText xml:space="preserve"> \* MERGEFORMAT </w:instrText>
      </w:r>
      <w:r w:rsidRPr="00290A61">
        <w:rPr>
          <w:rFonts w:ascii="Arial" w:hAnsi="Arial" w:cs="Arial"/>
        </w:rPr>
      </w:r>
      <w:r w:rsidRPr="00290A61">
        <w:rPr>
          <w:rFonts w:ascii="Arial" w:hAnsi="Arial" w:cs="Arial"/>
        </w:rPr>
        <w:fldChar w:fldCharType="separate"/>
      </w:r>
      <w:r w:rsidR="00AB4A5D">
        <w:rPr>
          <w:rFonts w:ascii="Arial" w:hAnsi="Arial" w:cs="Arial"/>
        </w:rPr>
        <w:t>[7]</w:t>
      </w:r>
      <w:r w:rsidRPr="00290A61">
        <w:rPr>
          <w:rFonts w:ascii="Arial" w:hAnsi="Arial" w:cs="Arial"/>
        </w:rPr>
        <w:fldChar w:fldCharType="end"/>
      </w:r>
      <w:r w:rsidRPr="00290A61">
        <w:rPr>
          <w:rFonts w:ascii="Arial" w:hAnsi="Arial" w:cs="Arial"/>
        </w:rPr>
        <w:t xml:space="preserve">. </w:t>
      </w:r>
      <w:r w:rsidR="00390FA0" w:rsidRPr="00290A61">
        <w:rPr>
          <w:rFonts w:ascii="Arial" w:hAnsi="Arial" w:cs="Arial"/>
        </w:rPr>
        <w:t>It was discussed if the UE can assume that CSI-RS is transmitted with the same transmit power across different occasions during the measurement period and if this also applies to SSB-based RRM measurements.</w:t>
      </w:r>
    </w:p>
    <w:p w14:paraId="13B2B9E6" w14:textId="19A9E781" w:rsidR="001311F7" w:rsidRPr="00290A61" w:rsidRDefault="001311F7" w:rsidP="0014516C">
      <w:pPr>
        <w:rPr>
          <w:rFonts w:ascii="Arial" w:hAnsi="Arial" w:cs="Arial"/>
        </w:rPr>
      </w:pPr>
      <w:r w:rsidRPr="00290A61">
        <w:rPr>
          <w:rFonts w:ascii="Arial" w:hAnsi="Arial" w:cs="Arial"/>
          <w:noProof/>
        </w:rPr>
        <w:lastRenderedPageBreak/>
        <mc:AlternateContent>
          <mc:Choice Requires="wps">
            <w:drawing>
              <wp:anchor distT="45720" distB="45720" distL="114300" distR="114300" simplePos="0" relativeHeight="251658244" behindDoc="0" locked="0" layoutInCell="1" allowOverlap="1" wp14:anchorId="3C8FD8DE" wp14:editId="6F977471">
                <wp:simplePos x="0" y="0"/>
                <wp:positionH relativeFrom="column">
                  <wp:posOffset>26670</wp:posOffset>
                </wp:positionH>
                <wp:positionV relativeFrom="paragraph">
                  <wp:posOffset>466090</wp:posOffset>
                </wp:positionV>
                <wp:extent cx="5905500" cy="1404620"/>
                <wp:effectExtent l="0" t="0" r="19050" b="2032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404620"/>
                        </a:xfrm>
                        <a:prstGeom prst="rect">
                          <a:avLst/>
                        </a:prstGeom>
                        <a:solidFill>
                          <a:srgbClr val="FFFFFF"/>
                        </a:solidFill>
                        <a:ln w="9525">
                          <a:solidFill>
                            <a:srgbClr val="000000"/>
                          </a:solidFill>
                          <a:miter lim="800000"/>
                          <a:headEnd/>
                          <a:tailEnd/>
                        </a:ln>
                      </wps:spPr>
                      <wps:txbx>
                        <w:txbxContent>
                          <w:p w14:paraId="4CBB713F" w14:textId="77777777" w:rsidR="00A76E1D" w:rsidRDefault="00A76E1D" w:rsidP="001311F7">
                            <w:pPr>
                              <w:rPr>
                                <w:rFonts w:ascii="Times New Roman" w:eastAsia="Times New Roman" w:hAnsi="Times New Roman" w:cs="Times New Roman"/>
                                <w:color w:val="000000"/>
                                <w:sz w:val="20"/>
                                <w:szCs w:val="20"/>
                              </w:rPr>
                            </w:pPr>
                            <w:r>
                              <w:rPr>
                                <w:color w:val="000000"/>
                              </w:rPr>
                              <w:t xml:space="preserve">For the purpose of SS-RSRP, SS-RSRQ and SS-SINR measurements, the UE may assume downlink EPRE is constant across the bandwidth. </w:t>
                            </w:r>
                            <w:r w:rsidRPr="00290A61">
                              <w:rPr>
                                <w:color w:val="000000"/>
                                <w:highlight w:val="yellow"/>
                              </w:rPr>
                              <w:t>For the purpose of SS-RSRP, SS-RSRQ and SS-SINR measurements, the UE may assume downlink EPRE is constant over SSS carried in different SS/PBCH blocks</w:t>
                            </w:r>
                            <w:r>
                              <w:rPr>
                                <w:color w:val="000000"/>
                              </w:rPr>
                              <w:t xml:space="preserve">. For the purpose of SS-RSRP, SS-RSRQ and SS-SINR measurements, the UE may assume that the ratio of SSS EPRE to PBCH DM-RS EPRE is 0 dB. </w:t>
                            </w:r>
                          </w:p>
                          <w:p w14:paraId="3E8B7702" w14:textId="3971E365" w:rsidR="00A76E1D" w:rsidRDefault="00A76E1D">
                            <w:pPr>
                              <w:rPr>
                                <w:color w:val="000000"/>
                              </w:rPr>
                            </w:pPr>
                            <w:r>
                              <w:rPr>
                                <w:color w:val="000000"/>
                              </w:rPr>
                              <w:t>For the purpose of CSI-RSRP, CSI-RSRQ and CSI-SINR measurements, the UE may assume downlink EPRE of a port of CSI-RS resource configuration is constant across the configured downlink bandwidth and constant across all configured OFDM symbols.</w:t>
                            </w:r>
                          </w:p>
                          <w:p w14:paraId="1FEDC97A" w14:textId="77777777" w:rsidR="00A76E1D" w:rsidRDefault="00A76E1D" w:rsidP="001311F7">
                            <w:pPr>
                              <w:rPr>
                                <w:rFonts w:ascii="Times New Roman" w:eastAsia="Times New Roman" w:hAnsi="Times New Roman" w:cs="Times New Roman"/>
                                <w:color w:val="000000"/>
                                <w:sz w:val="20"/>
                                <w:szCs w:val="20"/>
                              </w:rPr>
                            </w:pPr>
                            <w:r w:rsidRPr="00290A61">
                              <w:rPr>
                                <w:color w:val="000000"/>
                                <w:highlight w:val="yellow"/>
                              </w:rPr>
                              <w:t xml:space="preserve">The downlink SS/PBCH SSS EPRE can be derived from the SS/PBCH downlink transmit power given by the parameter </w:t>
                            </w:r>
                            <w:r w:rsidRPr="00290A61">
                              <w:rPr>
                                <w:i/>
                                <w:color w:val="000000"/>
                                <w:highlight w:val="yellow"/>
                              </w:rPr>
                              <w:t>ss-PBCH-BlockPower</w:t>
                            </w:r>
                            <w:r w:rsidRPr="00290A61">
                              <w:rPr>
                                <w:color w:val="000000"/>
                                <w:highlight w:val="yellow"/>
                              </w:rPr>
                              <w:t xml:space="preserve"> provided by higher layers</w:t>
                            </w:r>
                            <w:r>
                              <w:rPr>
                                <w:color w:val="000000"/>
                              </w:rPr>
                              <w:t xml:space="preserve">. The downlink SSS transmit power is defined as the linear average over the power contributions (in [W]) of all resource elements that carry the SSS within the operating system bandwidth. </w:t>
                            </w:r>
                          </w:p>
                          <w:p w14:paraId="612D5E40" w14:textId="0B57E603" w:rsidR="00A76E1D" w:rsidRPr="00290A61" w:rsidRDefault="00A76E1D">
                            <w:pPr>
                              <w:rPr>
                                <w:color w:val="000000"/>
                              </w:rPr>
                            </w:pPr>
                            <w:r w:rsidRPr="00290A61">
                              <w:rPr>
                                <w:color w:val="000000"/>
                                <w:highlight w:val="yellow"/>
                              </w:rPr>
                              <w:t xml:space="preserve">The downlink CSI-RS EPRE can be derived from the SS/PBCH block downlink transmit power given by the parameter </w:t>
                            </w:r>
                            <w:r w:rsidRPr="00290A61">
                              <w:rPr>
                                <w:i/>
                                <w:color w:val="000000"/>
                                <w:highlight w:val="yellow"/>
                              </w:rPr>
                              <w:t>ss-PBCH-BlockPower</w:t>
                            </w:r>
                            <w:r w:rsidRPr="00290A61">
                              <w:rPr>
                                <w:color w:val="000000"/>
                                <w:highlight w:val="yellow"/>
                              </w:rPr>
                              <w:t xml:space="preserve"> and CSI-RS power offset given by the parameter </w:t>
                            </w:r>
                            <w:r w:rsidRPr="00290A61">
                              <w:rPr>
                                <w:i/>
                                <w:color w:val="000000"/>
                                <w:highlight w:val="yellow"/>
                              </w:rPr>
                              <w:t xml:space="preserve">powerControlOffsetSS </w:t>
                            </w:r>
                            <w:r w:rsidRPr="00290A61">
                              <w:rPr>
                                <w:color w:val="000000"/>
                                <w:highlight w:val="yellow"/>
                              </w:rPr>
                              <w:t>provided by higher layers</w:t>
                            </w:r>
                            <w:r>
                              <w:rPr>
                                <w:color w:val="000000"/>
                              </w:rPr>
                              <w:t>. The downlink reference-signal transmit power is defined as the linear average over the power contributions (in [W]) of the resource elements that carry the configured CSI-RS within the operating system bandwidth.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8FD8DE" id="_x0000_t202" coordsize="21600,21600" o:spt="202" path="m,l,21600r21600,l21600,xe">
                <v:stroke joinstyle="miter"/>
                <v:path gradientshapeok="t" o:connecttype="rect"/>
              </v:shapetype>
              <v:shape id="Text Box 2" o:spid="_x0000_s1026" type="#_x0000_t202" style="position:absolute;margin-left:2.1pt;margin-top:36.7pt;width:465pt;height:110.6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">
                <v:textbox style="mso-fit-shape-to-text:t">
                  <w:txbxContent>
                    <w:p w14:paraId="4CBB713F" w14:textId="77777777" w:rsidR="00A76E1D" w:rsidRDefault="00A76E1D" w:rsidP="001311F7">
                      <w:pPr>
                        <w:rPr>
                          <w:rFonts w:ascii="Times New Roman" w:eastAsia="Times New Roman" w:hAnsi="Times New Roman" w:cs="Times New Roman"/>
                          <w:color w:val="000000"/>
                          <w:sz w:val="20"/>
                          <w:szCs w:val="20"/>
                        </w:rPr>
                      </w:pPr>
                      <w:r>
                        <w:rPr>
                          <w:color w:val="000000"/>
                        </w:rPr>
                        <w:t xml:space="preserve">For the purpose of SS-RSRP, SS-RSRQ and SS-SINR measurements, the UE may assume downlink EPRE is constant across the bandwidth. </w:t>
                      </w:r>
                      <w:r w:rsidRPr="00290A61">
                        <w:rPr>
                          <w:color w:val="000000"/>
                          <w:highlight w:val="yellow"/>
                        </w:rPr>
                        <w:t>For the purpose of SS-RSRP, SS-RSRQ and SS-SINR measurements, the UE may assume downlink EPRE is constant over SSS carried in different SS/PBCH blocks</w:t>
                      </w:r>
                      <w:r>
                        <w:rPr>
                          <w:color w:val="000000"/>
                        </w:rPr>
                        <w:t xml:space="preserve">. For the purpose of SS-RSRP, SS-RSRQ and SS-SINR measurements, the UE may assume that the ratio of SSS EPRE to PBCH DM-RS EPRE is 0 dB. </w:t>
                      </w:r>
                    </w:p>
                    <w:p w14:paraId="3E8B7702" w14:textId="3971E365" w:rsidR="00A76E1D" w:rsidRDefault="00A76E1D">
                      <w:pPr>
                        <w:rPr>
                          <w:color w:val="000000"/>
                        </w:rPr>
                      </w:pPr>
                      <w:r>
                        <w:rPr>
                          <w:color w:val="000000"/>
                        </w:rPr>
                        <w:t>For the purpose of CSI-RSRP, CSI-RSRQ and CSI-SINR measurements, the UE may assume downlink EPRE of a port of CSI-RS resource configuration is constant across the configured downlink bandwidth and constant across all configured OFDM symbols.</w:t>
                      </w:r>
                    </w:p>
                    <w:p w14:paraId="1FEDC97A" w14:textId="77777777" w:rsidR="00A76E1D" w:rsidRDefault="00A76E1D" w:rsidP="001311F7">
                      <w:pPr>
                        <w:rPr>
                          <w:rFonts w:ascii="Times New Roman" w:eastAsia="Times New Roman" w:hAnsi="Times New Roman" w:cs="Times New Roman"/>
                          <w:color w:val="000000"/>
                          <w:sz w:val="20"/>
                          <w:szCs w:val="20"/>
                        </w:rPr>
                      </w:pPr>
                      <w:r w:rsidRPr="00290A61">
                        <w:rPr>
                          <w:color w:val="000000"/>
                          <w:highlight w:val="yellow"/>
                        </w:rPr>
                        <w:t xml:space="preserve">The downlink SS/PBCH SSS EPRE can be derived from the SS/PBCH downlink transmit power given by the parameter </w:t>
                      </w:r>
                      <w:r w:rsidRPr="00290A61">
                        <w:rPr>
                          <w:i/>
                          <w:color w:val="000000"/>
                          <w:highlight w:val="yellow"/>
                        </w:rPr>
                        <w:t>ss-PBCH-BlockPower</w:t>
                      </w:r>
                      <w:r w:rsidRPr="00290A61">
                        <w:rPr>
                          <w:color w:val="000000"/>
                          <w:highlight w:val="yellow"/>
                        </w:rPr>
                        <w:t xml:space="preserve"> provided by higher layers</w:t>
                      </w:r>
                      <w:r>
                        <w:rPr>
                          <w:color w:val="000000"/>
                        </w:rPr>
                        <w:t xml:space="preserve">. The downlink SSS transmit power is defined as the linear average over the power contributions (in [W]) of all resource elements that carry the SSS within the operating system bandwidth. </w:t>
                      </w:r>
                    </w:p>
                    <w:p w14:paraId="612D5E40" w14:textId="0B57E603" w:rsidR="00A76E1D" w:rsidRPr="00290A61" w:rsidRDefault="00A76E1D">
                      <w:pPr>
                        <w:rPr>
                          <w:color w:val="000000"/>
                        </w:rPr>
                      </w:pPr>
                      <w:r w:rsidRPr="00290A61">
                        <w:rPr>
                          <w:color w:val="000000"/>
                          <w:highlight w:val="yellow"/>
                        </w:rPr>
                        <w:t xml:space="preserve">The downlink CSI-RS EPRE can be derived from the SS/PBCH block downlink transmit power given by the parameter </w:t>
                      </w:r>
                      <w:r w:rsidRPr="00290A61">
                        <w:rPr>
                          <w:i/>
                          <w:color w:val="000000"/>
                          <w:highlight w:val="yellow"/>
                        </w:rPr>
                        <w:t>ss-PBCH-BlockPower</w:t>
                      </w:r>
                      <w:r w:rsidRPr="00290A61">
                        <w:rPr>
                          <w:color w:val="000000"/>
                          <w:highlight w:val="yellow"/>
                        </w:rPr>
                        <w:t xml:space="preserve"> and CSI-RS power offset given by the parameter </w:t>
                      </w:r>
                      <w:r w:rsidRPr="00290A61">
                        <w:rPr>
                          <w:i/>
                          <w:color w:val="000000"/>
                          <w:highlight w:val="yellow"/>
                        </w:rPr>
                        <w:t xml:space="preserve">powerControlOffsetSS </w:t>
                      </w:r>
                      <w:r w:rsidRPr="00290A61">
                        <w:rPr>
                          <w:color w:val="000000"/>
                          <w:highlight w:val="yellow"/>
                        </w:rPr>
                        <w:t>provided by higher layers</w:t>
                      </w:r>
                      <w:r>
                        <w:rPr>
                          <w:color w:val="000000"/>
                        </w:rPr>
                        <w:t>. The downlink reference-signal transmit power is defined as the linear average over the power contributions (in [W]) of the resource elements that carry the configured CSI-RS within the operating system bandwidth.</w:t>
                      </w:r>
                    </w:p>
                  </w:txbxContent>
                </v:textbox>
                <w10:wrap type="square"/>
              </v:shape>
            </w:pict>
          </mc:Fallback>
        </mc:AlternateContent>
      </w:r>
      <w:r w:rsidRPr="00290A61">
        <w:rPr>
          <w:rFonts w:ascii="Arial" w:hAnsi="Arial" w:cs="Arial"/>
        </w:rPr>
        <w:t xml:space="preserve">In 38.214, Sec 4.1 </w:t>
      </w:r>
      <w:r w:rsidR="00E96E71" w:rsidRPr="00290A61">
        <w:rPr>
          <w:rFonts w:ascii="Arial" w:hAnsi="Arial" w:cs="Arial"/>
        </w:rPr>
        <w:fldChar w:fldCharType="begin"/>
      </w:r>
      <w:r w:rsidR="00E96E71" w:rsidRPr="00290A61">
        <w:rPr>
          <w:rFonts w:ascii="Arial" w:hAnsi="Arial" w:cs="Arial"/>
        </w:rPr>
        <w:instrText xml:space="preserve"> REF _Ref40337351 \r \h </w:instrText>
      </w:r>
      <w:r w:rsidR="00CD2708">
        <w:rPr>
          <w:rFonts w:ascii="Arial" w:hAnsi="Arial" w:cs="Arial"/>
        </w:rPr>
        <w:instrText xml:space="preserve"> \* MERGEFORMAT </w:instrText>
      </w:r>
      <w:r w:rsidR="00E96E71" w:rsidRPr="00290A61">
        <w:rPr>
          <w:rFonts w:ascii="Arial" w:hAnsi="Arial" w:cs="Arial"/>
        </w:rPr>
      </w:r>
      <w:r w:rsidR="00E96E71" w:rsidRPr="00290A61">
        <w:rPr>
          <w:rFonts w:ascii="Arial" w:hAnsi="Arial" w:cs="Arial"/>
        </w:rPr>
        <w:fldChar w:fldCharType="separate"/>
      </w:r>
      <w:r w:rsidR="00AB4A5D">
        <w:rPr>
          <w:rFonts w:ascii="Arial" w:hAnsi="Arial" w:cs="Arial"/>
        </w:rPr>
        <w:t>[8]</w:t>
      </w:r>
      <w:r w:rsidR="00E96E71" w:rsidRPr="00290A61">
        <w:rPr>
          <w:rFonts w:ascii="Arial" w:hAnsi="Arial" w:cs="Arial"/>
        </w:rPr>
        <w:fldChar w:fldCharType="end"/>
      </w:r>
      <w:r w:rsidRPr="00290A61">
        <w:rPr>
          <w:rFonts w:ascii="Arial" w:hAnsi="Arial" w:cs="Arial"/>
        </w:rPr>
        <w:t>, the following is stated.</w:t>
      </w:r>
    </w:p>
    <w:p w14:paraId="3FBCB370" w14:textId="15CFA7B4" w:rsidR="0014516C" w:rsidRDefault="00390FA0" w:rsidP="0014516C">
      <w:r>
        <w:t xml:space="preserve"> </w:t>
      </w:r>
    </w:p>
    <w:p w14:paraId="6124AE3B" w14:textId="1DEF3668" w:rsidR="001311F7" w:rsidRPr="00290A61" w:rsidRDefault="001D6316" w:rsidP="0014516C">
      <w:pPr>
        <w:rPr>
          <w:rFonts w:ascii="Arial" w:hAnsi="Arial" w:cs="Arial"/>
          <w:lang w:val="en-GB" w:eastAsia="ja-JP"/>
        </w:rPr>
      </w:pPr>
      <w:r w:rsidRPr="00290A61">
        <w:rPr>
          <w:rFonts w:ascii="Arial" w:hAnsi="Arial" w:cs="Arial"/>
          <w:lang w:val="en-GB" w:eastAsia="ja-JP"/>
        </w:rPr>
        <w:t>It is clearly stated that the</w:t>
      </w:r>
      <w:r w:rsidR="007F4067" w:rsidRPr="00290A61">
        <w:rPr>
          <w:rFonts w:ascii="Arial" w:hAnsi="Arial" w:cs="Arial"/>
          <w:lang w:val="en-GB" w:eastAsia="ja-JP"/>
        </w:rPr>
        <w:t xml:space="preserve"> UE can assume that the same transmit power is used across </w:t>
      </w:r>
      <w:r w:rsidR="007A7D4F" w:rsidRPr="00290A61">
        <w:rPr>
          <w:rFonts w:ascii="Arial" w:hAnsi="Arial" w:cs="Arial"/>
          <w:lang w:val="en-GB" w:eastAsia="ja-JP"/>
        </w:rPr>
        <w:t xml:space="preserve">SS/PBCH blocks </w:t>
      </w:r>
      <w:proofErr w:type="spellStart"/>
      <w:r w:rsidR="007F4067" w:rsidRPr="00290A61">
        <w:rPr>
          <w:rFonts w:ascii="Arial" w:hAnsi="Arial" w:cs="Arial"/>
          <w:lang w:val="en-GB" w:eastAsia="ja-JP"/>
        </w:rPr>
        <w:t>blocks</w:t>
      </w:r>
      <w:proofErr w:type="spellEnd"/>
      <w:r w:rsidR="007F4067" w:rsidRPr="00290A61">
        <w:rPr>
          <w:rFonts w:ascii="Arial" w:hAnsi="Arial" w:cs="Arial"/>
          <w:lang w:val="en-GB" w:eastAsia="ja-JP"/>
        </w:rPr>
        <w:t xml:space="preserve"> and symbols</w:t>
      </w:r>
      <w:r w:rsidRPr="00290A61">
        <w:rPr>
          <w:rFonts w:ascii="Arial" w:hAnsi="Arial" w:cs="Arial"/>
          <w:lang w:val="en-GB" w:eastAsia="ja-JP"/>
        </w:rPr>
        <w:t xml:space="preserve">. In addition, since SS/PBCH SS EPRE and CSI-RS EPRE is derived using RRC configured parameters </w:t>
      </w:r>
      <w:r w:rsidRPr="00290A61">
        <w:rPr>
          <w:rFonts w:ascii="Arial" w:hAnsi="Arial" w:cs="Arial"/>
          <w:i/>
          <w:iCs/>
          <w:lang w:val="en-GB" w:eastAsia="ja-JP"/>
        </w:rPr>
        <w:t>ss-PBCH-</w:t>
      </w:r>
      <w:proofErr w:type="spellStart"/>
      <w:r w:rsidRPr="00290A61">
        <w:rPr>
          <w:rFonts w:ascii="Arial" w:hAnsi="Arial" w:cs="Arial"/>
          <w:i/>
          <w:iCs/>
          <w:lang w:val="en-GB" w:eastAsia="ja-JP"/>
        </w:rPr>
        <w:t>BlockPower</w:t>
      </w:r>
      <w:proofErr w:type="spellEnd"/>
      <w:r w:rsidRPr="00290A61">
        <w:rPr>
          <w:rFonts w:ascii="Arial" w:hAnsi="Arial" w:cs="Arial"/>
          <w:lang w:val="en-GB" w:eastAsia="ja-JP"/>
        </w:rPr>
        <w:t xml:space="preserve"> and </w:t>
      </w:r>
      <w:proofErr w:type="spellStart"/>
      <w:r w:rsidRPr="00290A61">
        <w:rPr>
          <w:rFonts w:ascii="Arial" w:hAnsi="Arial" w:cs="Arial"/>
          <w:i/>
          <w:iCs/>
          <w:lang w:val="en-GB" w:eastAsia="ja-JP"/>
        </w:rPr>
        <w:t>powerControlOffsetSS</w:t>
      </w:r>
      <w:proofErr w:type="spellEnd"/>
      <w:r w:rsidRPr="00290A61">
        <w:rPr>
          <w:rFonts w:ascii="Arial" w:hAnsi="Arial" w:cs="Arial"/>
          <w:lang w:val="en-GB" w:eastAsia="ja-JP"/>
        </w:rPr>
        <w:t>, the UE can also assume that the transmit power used is the same across occasions</w:t>
      </w:r>
      <w:r w:rsidR="00A34BF4" w:rsidRPr="00290A61">
        <w:rPr>
          <w:rFonts w:ascii="Arial" w:hAnsi="Arial" w:cs="Arial"/>
          <w:lang w:val="en-GB" w:eastAsia="ja-JP"/>
        </w:rPr>
        <w:t xml:space="preserve">, unless an RRC reconfiguration message is received </w:t>
      </w:r>
      <w:proofErr w:type="spellStart"/>
      <w:r w:rsidR="00A34BF4" w:rsidRPr="00290A61">
        <w:rPr>
          <w:rFonts w:ascii="Arial" w:hAnsi="Arial" w:cs="Arial"/>
          <w:lang w:val="en-GB" w:eastAsia="ja-JP"/>
        </w:rPr>
        <w:t>inbetween</w:t>
      </w:r>
      <w:proofErr w:type="spellEnd"/>
      <w:r w:rsidRPr="00290A61">
        <w:rPr>
          <w:rFonts w:ascii="Arial" w:hAnsi="Arial" w:cs="Arial"/>
          <w:lang w:val="en-GB" w:eastAsia="ja-JP"/>
        </w:rPr>
        <w:t xml:space="preserve">. </w:t>
      </w:r>
    </w:p>
    <w:p w14:paraId="14324C82" w14:textId="18F980C1" w:rsidR="00A34BF4" w:rsidRPr="00290A61" w:rsidRDefault="001729AA" w:rsidP="00290A61">
      <w:pPr>
        <w:pStyle w:val="Proposal"/>
        <w:rPr>
          <w:lang w:val="en-GB" w:eastAsia="ja-JP"/>
        </w:rPr>
      </w:pPr>
      <w:bookmarkStart w:id="11" w:name="_Toc40463387"/>
      <w:r>
        <w:rPr>
          <w:lang w:val="en-GB" w:eastAsia="ja-JP"/>
        </w:rPr>
        <w:t>Respond to RAN4 that the UE can assume that the same transmit power is used across different occasions, for both CSI-RS and SSB-based RRM measurements.</w:t>
      </w:r>
      <w:bookmarkEnd w:id="11"/>
    </w:p>
    <w:p w14:paraId="6A02B399" w14:textId="69A3EB6C" w:rsidR="000E3014" w:rsidRDefault="000E3014" w:rsidP="000E3014">
      <w:pPr>
        <w:pStyle w:val="BodyText"/>
      </w:pPr>
    </w:p>
    <w:p w14:paraId="138AB663" w14:textId="2F392F56" w:rsidR="007A7D4F" w:rsidRPr="00962815" w:rsidRDefault="007A7D4F" w:rsidP="007A7D4F">
      <w:pPr>
        <w:pStyle w:val="Heading2"/>
        <w:rPr>
          <w:lang w:val="en-US"/>
        </w:rPr>
      </w:pPr>
      <w:r w:rsidRPr="00962815">
        <w:rPr>
          <w:lang w:val="en-US"/>
        </w:rPr>
        <w:t>2.</w:t>
      </w:r>
      <w:r>
        <w:rPr>
          <w:lang w:val="en-US"/>
        </w:rPr>
        <w:t>5</w:t>
      </w:r>
      <w:r w:rsidRPr="00962815">
        <w:rPr>
          <w:lang w:val="en-US"/>
        </w:rPr>
        <w:t xml:space="preserve"> RSSI measurement duration</w:t>
      </w:r>
    </w:p>
    <w:p w14:paraId="4B839E60" w14:textId="77777777" w:rsidR="007A7D4F" w:rsidRDefault="007A7D4F" w:rsidP="007A7D4F">
      <w:pPr>
        <w:pStyle w:val="BodyText"/>
      </w:pPr>
      <w:r>
        <w:t>In RAN1#100bis-e RAN1 discussed RSSI measurements. The following “intermediate” agreement was achieved:</w:t>
      </w:r>
    </w:p>
    <w:p w14:paraId="135F9B60" w14:textId="77777777" w:rsidR="007A7D4F" w:rsidRPr="00962815" w:rsidRDefault="007A7D4F" w:rsidP="007A7D4F">
      <w:pPr>
        <w:spacing w:after="0" w:line="240" w:lineRule="auto"/>
        <w:ind w:left="360"/>
        <w:rPr>
          <w:rFonts w:ascii="Times New Roman" w:eastAsia="Calibri" w:hAnsi="Times New Roman" w:cs="Times New Roman"/>
          <w:sz w:val="20"/>
          <w:szCs w:val="20"/>
          <w:lang w:eastAsia="x-none"/>
        </w:rPr>
      </w:pPr>
      <w:r w:rsidRPr="00962815">
        <w:rPr>
          <w:rFonts w:ascii="Times New Roman" w:eastAsia="Calibri" w:hAnsi="Times New Roman" w:cs="Times New Roman"/>
          <w:sz w:val="20"/>
          <w:szCs w:val="20"/>
          <w:highlight w:val="green"/>
          <w:lang w:eastAsia="x-none"/>
        </w:rPr>
        <w:t>Agreement:</w:t>
      </w:r>
    </w:p>
    <w:p w14:paraId="55D864D3" w14:textId="77777777" w:rsidR="007A7D4F" w:rsidRPr="00962815" w:rsidRDefault="007A7D4F" w:rsidP="007A7D4F">
      <w:pPr>
        <w:numPr>
          <w:ilvl w:val="0"/>
          <w:numId w:val="37"/>
        </w:numPr>
        <w:spacing w:after="0" w:line="240" w:lineRule="auto"/>
        <w:ind w:left="1080"/>
        <w:rPr>
          <w:rFonts w:ascii="Times New Roman" w:eastAsia="Times New Roman" w:hAnsi="Times New Roman" w:cs="Times New Roman"/>
          <w:sz w:val="20"/>
          <w:szCs w:val="20"/>
          <w:lang w:eastAsia="x-none"/>
        </w:rPr>
      </w:pPr>
      <w:r w:rsidRPr="00962815">
        <w:rPr>
          <w:rFonts w:ascii="Times New Roman" w:eastAsia="Times New Roman" w:hAnsi="Times New Roman" w:cs="Times New Roman"/>
          <w:sz w:val="20"/>
          <w:szCs w:val="20"/>
          <w:lang w:eastAsia="x-none"/>
        </w:rPr>
        <w:t xml:space="preserve">1 symbol duration is included for each numerology (approx. 71 us, 35 us, 17 us respectively). </w:t>
      </w:r>
    </w:p>
    <w:p w14:paraId="69A0E045" w14:textId="77777777" w:rsidR="007A7D4F" w:rsidRPr="00962815" w:rsidRDefault="007A7D4F" w:rsidP="007A7D4F">
      <w:pPr>
        <w:numPr>
          <w:ilvl w:val="1"/>
          <w:numId w:val="37"/>
        </w:numPr>
        <w:spacing w:after="0" w:line="240" w:lineRule="auto"/>
        <w:ind w:left="1800"/>
        <w:rPr>
          <w:rFonts w:ascii="Times New Roman" w:eastAsia="Times New Roman" w:hAnsi="Times New Roman" w:cs="Times New Roman"/>
          <w:sz w:val="20"/>
          <w:szCs w:val="20"/>
          <w:lang w:eastAsia="x-none"/>
        </w:rPr>
      </w:pPr>
      <w:r w:rsidRPr="00962815">
        <w:rPr>
          <w:rFonts w:ascii="Times New Roman" w:eastAsia="Times New Roman" w:hAnsi="Times New Roman" w:cs="Times New Roman"/>
          <w:sz w:val="20"/>
          <w:szCs w:val="20"/>
          <w:lang w:eastAsia="x-none"/>
        </w:rPr>
        <w:t>This is a natural consequence of previous agreement: The L1 averaging duration of RSSI measurements (within a configured measurement duration) is limited to 1 OFDM symbol of a configured reference subcarrier spacing.</w:t>
      </w:r>
    </w:p>
    <w:p w14:paraId="5BC8AD4D" w14:textId="77777777" w:rsidR="007A7D4F" w:rsidRPr="00962815" w:rsidRDefault="007A7D4F" w:rsidP="007A7D4F">
      <w:pPr>
        <w:numPr>
          <w:ilvl w:val="0"/>
          <w:numId w:val="37"/>
        </w:numPr>
        <w:spacing w:after="0" w:line="240" w:lineRule="auto"/>
        <w:ind w:left="1080"/>
        <w:rPr>
          <w:rFonts w:ascii="Times New Roman" w:eastAsia="Times New Roman" w:hAnsi="Times New Roman" w:cs="Times New Roman"/>
          <w:sz w:val="20"/>
          <w:szCs w:val="20"/>
          <w:lang w:eastAsia="x-none"/>
        </w:rPr>
      </w:pPr>
      <w:r w:rsidRPr="00962815">
        <w:rPr>
          <w:rFonts w:ascii="Times New Roman" w:eastAsia="Times New Roman" w:hAnsi="Times New Roman" w:cs="Times New Roman"/>
          <w:sz w:val="20"/>
          <w:szCs w:val="20"/>
          <w:lang w:eastAsia="x-none"/>
        </w:rPr>
        <w:t>Retain LTE LAA values {sym1, sym14, sym28, sym42, sym70} at least for 15 kHz numerology</w:t>
      </w:r>
    </w:p>
    <w:p w14:paraId="3CAD54F0" w14:textId="77777777" w:rsidR="007A7D4F" w:rsidRPr="00962815" w:rsidRDefault="007A7D4F" w:rsidP="007A7D4F">
      <w:pPr>
        <w:numPr>
          <w:ilvl w:val="0"/>
          <w:numId w:val="37"/>
        </w:numPr>
        <w:spacing w:after="0" w:line="240" w:lineRule="auto"/>
        <w:ind w:left="1080"/>
        <w:rPr>
          <w:rFonts w:ascii="Times New Roman" w:eastAsia="Times New Roman" w:hAnsi="Times New Roman" w:cs="Times New Roman"/>
          <w:sz w:val="20"/>
          <w:szCs w:val="20"/>
          <w:lang w:eastAsia="x-none"/>
        </w:rPr>
      </w:pPr>
      <w:r w:rsidRPr="00962815">
        <w:rPr>
          <w:rFonts w:ascii="Times New Roman" w:eastAsia="Times New Roman" w:hAnsi="Times New Roman" w:cs="Times New Roman"/>
          <w:sz w:val="20"/>
          <w:szCs w:val="20"/>
          <w:lang w:eastAsia="x-none"/>
        </w:rPr>
        <w:t xml:space="preserve">Measurement duration can be no more than 5 </w:t>
      </w:r>
      <w:proofErr w:type="spellStart"/>
      <w:r w:rsidRPr="00962815">
        <w:rPr>
          <w:rFonts w:ascii="Times New Roman" w:eastAsia="Times New Roman" w:hAnsi="Times New Roman" w:cs="Times New Roman"/>
          <w:sz w:val="20"/>
          <w:szCs w:val="20"/>
          <w:lang w:eastAsia="x-none"/>
        </w:rPr>
        <w:t>ms</w:t>
      </w:r>
      <w:proofErr w:type="spellEnd"/>
      <w:r w:rsidRPr="00962815">
        <w:rPr>
          <w:rFonts w:ascii="Times New Roman" w:eastAsia="Times New Roman" w:hAnsi="Times New Roman" w:cs="Times New Roman"/>
          <w:sz w:val="20"/>
          <w:szCs w:val="20"/>
          <w:lang w:eastAsia="x-none"/>
        </w:rPr>
        <w:t xml:space="preserve"> for each numerology (requires sym70, sym140, sym280/sym240 respectively)</w:t>
      </w:r>
    </w:p>
    <w:p w14:paraId="60A05F97" w14:textId="77777777" w:rsidR="007A7D4F" w:rsidRDefault="007A7D4F" w:rsidP="007A7D4F">
      <w:pPr>
        <w:pStyle w:val="BodyText"/>
      </w:pPr>
    </w:p>
    <w:p w14:paraId="03800CFC" w14:textId="77777777" w:rsidR="007A7D4F" w:rsidRDefault="007A7D4F" w:rsidP="007A7D4F">
      <w:pPr>
        <w:pStyle w:val="BodyText"/>
      </w:pPr>
      <w:r w:rsidRPr="0053281E">
        <w:rPr>
          <w:noProof/>
        </w:rPr>
        <w:lastRenderedPageBreak/>
        <mc:AlternateContent>
          <mc:Choice Requires="wps">
            <w:drawing>
              <wp:anchor distT="45720" distB="45720" distL="114300" distR="114300" simplePos="0" relativeHeight="251660292" behindDoc="0" locked="0" layoutInCell="1" allowOverlap="1" wp14:anchorId="6BA1DBC8" wp14:editId="3B796E03">
                <wp:simplePos x="0" y="0"/>
                <wp:positionH relativeFrom="margin">
                  <wp:align>left</wp:align>
                </wp:positionH>
                <wp:positionV relativeFrom="paragraph">
                  <wp:posOffset>404495</wp:posOffset>
                </wp:positionV>
                <wp:extent cx="6134100" cy="1404620"/>
                <wp:effectExtent l="0" t="0" r="19050" b="222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499FA47F" w14:textId="77777777" w:rsidR="00A76E1D" w:rsidRDefault="00A76E1D" w:rsidP="007A7D4F">
                            <w:pPr>
                              <w:wordWrap w:val="0"/>
                              <w:rPr>
                                <w:rFonts w:ascii="Malgun Gothic" w:eastAsia="Malgun Gothic" w:hAnsi="Malgun Gothic" w:cs="Times New Roman"/>
                                <w:color w:val="1F497D"/>
                                <w:sz w:val="20"/>
                                <w:szCs w:val="20"/>
                                <w:lang w:eastAsia="ko-KR"/>
                              </w:rPr>
                            </w:pPr>
                            <w:r>
                              <w:rPr>
                                <w:rFonts w:ascii="Malgun Gothic" w:eastAsia="Malgun Gothic" w:hAnsi="Malgun Gothic" w:hint="eastAsia"/>
                                <w:color w:val="1F497D"/>
                                <w:sz w:val="20"/>
                                <w:szCs w:val="20"/>
                                <w:highlight w:val="yellow"/>
                                <w:lang w:eastAsia="ko-KR"/>
                              </w:rPr>
                              <w:t>Proposal:</w:t>
                            </w:r>
                          </w:p>
                          <w:p w14:paraId="0C7689C3" w14:textId="77777777" w:rsidR="00A76E1D" w:rsidRDefault="00A76E1D" w:rsidP="007A7D4F">
                            <w:pPr>
                              <w:rPr>
                                <w:rFonts w:ascii="Calibri" w:hAnsi="Calibri" w:cs="Calibri"/>
                                <w:color w:val="1F497D"/>
                                <w:lang w:eastAsia="ko-KR"/>
                              </w:rPr>
                            </w:pPr>
                            <w:r>
                              <w:rPr>
                                <w:rFonts w:ascii="Calibri" w:hAnsi="Calibri" w:cs="Calibri"/>
                                <w:color w:val="1F497D"/>
                                <w:lang w:eastAsia="ko-KR"/>
                              </w:rPr>
                              <w:t xml:space="preserve">For the value ranges for </w:t>
                            </w:r>
                            <w:r>
                              <w:rPr>
                                <w:rFonts w:ascii="Calibri" w:hAnsi="Calibri" w:cs="Calibri"/>
                                <w:i/>
                                <w:iCs/>
                                <w:color w:val="1F497D"/>
                                <w:lang w:eastAsia="ko-KR"/>
                              </w:rPr>
                              <w:t>measDuration-r16</w:t>
                            </w:r>
                            <w:r>
                              <w:rPr>
                                <w:rFonts w:ascii="Calibri" w:hAnsi="Calibri" w:cs="Calibri"/>
                                <w:color w:val="1F497D"/>
                                <w:lang w:eastAsia="ko-KR"/>
                              </w:rPr>
                              <w:t>,</w:t>
                            </w:r>
                          </w:p>
                          <w:p w14:paraId="3A8FA75A" w14:textId="77777777" w:rsidR="00A76E1D" w:rsidRDefault="00A76E1D" w:rsidP="007A7D4F">
                            <w:pPr>
                              <w:numPr>
                                <w:ilvl w:val="0"/>
                                <w:numId w:val="35"/>
                              </w:numPr>
                              <w:autoSpaceDN w:val="0"/>
                              <w:spacing w:after="0" w:line="240" w:lineRule="auto"/>
                              <w:rPr>
                                <w:rFonts w:ascii="Calibri" w:eastAsia="Times New Roman" w:hAnsi="Calibri" w:cs="Calibri"/>
                                <w:color w:val="1F497D"/>
                                <w:lang w:eastAsia="ko-KR"/>
                              </w:rPr>
                            </w:pPr>
                            <w:r>
                              <w:rPr>
                                <w:rFonts w:ascii="Calibri" w:eastAsia="Times New Roman" w:hAnsi="Calibri" w:cs="Calibri"/>
                                <w:color w:val="1F497D"/>
                                <w:lang w:eastAsia="ko-KR"/>
                              </w:rPr>
                              <w:t>Alt 1: {sym1, sym14or28or56or48, sym28or56or112or96, sym42or84or168or144, sym70or140or280or240}</w:t>
                            </w:r>
                            <w:r>
                              <w:rPr>
                                <w:rFonts w:eastAsia="Times New Roman"/>
                                <w:color w:val="1F497D"/>
                                <w:lang w:eastAsia="ko-KR"/>
                              </w:rPr>
                              <w:t xml:space="preserve"> </w:t>
                            </w:r>
                          </w:p>
                          <w:p w14:paraId="3413F34D" w14:textId="77777777" w:rsidR="00A76E1D" w:rsidRDefault="00A76E1D" w:rsidP="007A7D4F">
                            <w:pPr>
                              <w:numPr>
                                <w:ilvl w:val="1"/>
                                <w:numId w:val="35"/>
                              </w:numPr>
                              <w:autoSpaceDN w:val="0"/>
                              <w:spacing w:after="0" w:line="240" w:lineRule="auto"/>
                              <w:rPr>
                                <w:rFonts w:ascii="Calibri" w:eastAsia="Times New Roman" w:hAnsi="Calibri" w:cs="Calibri"/>
                                <w:color w:val="1F497D"/>
                                <w:lang w:eastAsia="ko-KR"/>
                              </w:rPr>
                            </w:pPr>
                            <w:r>
                              <w:rPr>
                                <w:rFonts w:ascii="Calibri" w:eastAsia="Times New Roman" w:hAnsi="Calibri" w:cs="Calibri"/>
                                <w:color w:val="1F497D"/>
                                <w:lang w:eastAsia="ko-KR"/>
                              </w:rPr>
                              <w:t>“sym14or28or56or48” refers to 14 symbols for 15 kHz SCS, 28 symbols for 30 kHz SCS, 56 symbols for 60 kHz SCS with NCP, and 48 symbols for 60 kHz SCS with ECP, respectively, and so on</w:t>
                            </w:r>
                          </w:p>
                          <w:p w14:paraId="7C698F03" w14:textId="77777777" w:rsidR="00A76E1D" w:rsidRDefault="00A76E1D" w:rsidP="007A7D4F">
                            <w:pPr>
                              <w:numPr>
                                <w:ilvl w:val="0"/>
                                <w:numId w:val="35"/>
                              </w:numPr>
                              <w:autoSpaceDN w:val="0"/>
                              <w:spacing w:after="0" w:line="240" w:lineRule="auto"/>
                              <w:rPr>
                                <w:rFonts w:ascii="Calibri" w:eastAsia="Times New Roman" w:hAnsi="Calibri" w:cs="Calibri"/>
                                <w:color w:val="1F497D"/>
                                <w:lang w:eastAsia="ko-KR"/>
                              </w:rPr>
                            </w:pPr>
                            <w:r>
                              <w:rPr>
                                <w:rFonts w:ascii="Calibri" w:eastAsia="Times New Roman" w:hAnsi="Calibri" w:cs="Calibri"/>
                                <w:color w:val="1F497D"/>
                                <w:lang w:eastAsia="ko-KR"/>
                              </w:rPr>
                              <w:t>Alt 2: {sym1, sym14or12, sym28or24, sym42or36, sym70or60}</w:t>
                            </w:r>
                            <w:r>
                              <w:rPr>
                                <w:rFonts w:eastAsia="Times New Roman"/>
                                <w:color w:val="1F497D"/>
                                <w:lang w:eastAsia="ko-KR"/>
                              </w:rPr>
                              <w:t xml:space="preserve"> </w:t>
                            </w:r>
                          </w:p>
                          <w:p w14:paraId="78A04F36" w14:textId="77777777" w:rsidR="00A76E1D" w:rsidRDefault="00A76E1D" w:rsidP="007A7D4F">
                            <w:pPr>
                              <w:numPr>
                                <w:ilvl w:val="1"/>
                                <w:numId w:val="35"/>
                              </w:numPr>
                              <w:autoSpaceDN w:val="0"/>
                              <w:spacing w:after="0" w:line="240" w:lineRule="auto"/>
                            </w:pPr>
                            <w:r>
                              <w:rPr>
                                <w:rFonts w:ascii="Calibri" w:eastAsia="Times New Roman" w:hAnsi="Calibri" w:cs="Calibri"/>
                                <w:color w:val="1F497D"/>
                                <w:lang w:eastAsia="ko-KR"/>
                              </w:rPr>
                              <w:t>“sym14or12” refers to 14 symbols for NCP and 12 symbols for ECP, respectively, and so 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A1DBC8" id="_x0000_s1027" type="#_x0000_t202" style="position:absolute;left:0;text-align:left;margin-left:0;margin-top:31.85pt;width:483pt;height:110.6pt;z-index:25166029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">
                <v:textbox style="mso-fit-shape-to-text:t">
                  <w:txbxContent>
                    <w:p w14:paraId="499FA47F" w14:textId="77777777" w:rsidR="00A76E1D" w:rsidRDefault="00A76E1D" w:rsidP="007A7D4F">
                      <w:pPr>
                        <w:wordWrap w:val="0"/>
                        <w:rPr>
                          <w:rFonts w:ascii="Malgun Gothic" w:eastAsia="Malgun Gothic" w:hAnsi="Malgun Gothic" w:cs="Times New Roman"/>
                          <w:color w:val="1F497D"/>
                          <w:sz w:val="20"/>
                          <w:szCs w:val="20"/>
                          <w:lang w:eastAsia="ko-KR"/>
                        </w:rPr>
                      </w:pPr>
                      <w:r>
                        <w:rPr>
                          <w:rFonts w:ascii="Malgun Gothic" w:eastAsia="Malgun Gothic" w:hAnsi="Malgun Gothic" w:hint="eastAsia"/>
                          <w:color w:val="1F497D"/>
                          <w:sz w:val="20"/>
                          <w:szCs w:val="20"/>
                          <w:highlight w:val="yellow"/>
                          <w:lang w:eastAsia="ko-KR"/>
                        </w:rPr>
                        <w:t>Proposal:</w:t>
                      </w:r>
                    </w:p>
                    <w:p w14:paraId="0C7689C3" w14:textId="77777777" w:rsidR="00A76E1D" w:rsidRDefault="00A76E1D" w:rsidP="007A7D4F">
                      <w:pPr>
                        <w:rPr>
                          <w:rFonts w:ascii="Calibri" w:hAnsi="Calibri" w:cs="Calibri"/>
                          <w:color w:val="1F497D"/>
                          <w:lang w:eastAsia="ko-KR"/>
                        </w:rPr>
                      </w:pPr>
                      <w:r>
                        <w:rPr>
                          <w:rFonts w:ascii="Calibri" w:hAnsi="Calibri" w:cs="Calibri"/>
                          <w:color w:val="1F497D"/>
                          <w:lang w:eastAsia="ko-KR"/>
                        </w:rPr>
                        <w:t xml:space="preserve">For the value ranges for </w:t>
                      </w:r>
                      <w:r>
                        <w:rPr>
                          <w:rFonts w:ascii="Calibri" w:hAnsi="Calibri" w:cs="Calibri"/>
                          <w:i/>
                          <w:iCs/>
                          <w:color w:val="1F497D"/>
                          <w:lang w:eastAsia="ko-KR"/>
                        </w:rPr>
                        <w:t>measDuration-r16</w:t>
                      </w:r>
                      <w:r>
                        <w:rPr>
                          <w:rFonts w:ascii="Calibri" w:hAnsi="Calibri" w:cs="Calibri"/>
                          <w:color w:val="1F497D"/>
                          <w:lang w:eastAsia="ko-KR"/>
                        </w:rPr>
                        <w:t>,</w:t>
                      </w:r>
                    </w:p>
                    <w:p w14:paraId="3A8FA75A" w14:textId="77777777" w:rsidR="00A76E1D" w:rsidRDefault="00A76E1D" w:rsidP="007A7D4F">
                      <w:pPr>
                        <w:numPr>
                          <w:ilvl w:val="0"/>
                          <w:numId w:val="35"/>
                        </w:numPr>
                        <w:autoSpaceDN w:val="0"/>
                        <w:spacing w:after="0" w:line="240" w:lineRule="auto"/>
                        <w:rPr>
                          <w:rFonts w:ascii="Calibri" w:eastAsia="Times New Roman" w:hAnsi="Calibri" w:cs="Calibri"/>
                          <w:color w:val="1F497D"/>
                          <w:lang w:eastAsia="ko-KR"/>
                        </w:rPr>
                      </w:pPr>
                      <w:r>
                        <w:rPr>
                          <w:rFonts w:ascii="Calibri" w:eastAsia="Times New Roman" w:hAnsi="Calibri" w:cs="Calibri"/>
                          <w:color w:val="1F497D"/>
                          <w:lang w:eastAsia="ko-KR"/>
                        </w:rPr>
                        <w:t>Alt 1: {sym1, sym14or28or56or48, sym28or56or112or96, sym42or84or168or144, sym70or140or280or240}</w:t>
                      </w:r>
                      <w:r>
                        <w:rPr>
                          <w:rFonts w:eastAsia="Times New Roman"/>
                          <w:color w:val="1F497D"/>
                          <w:lang w:eastAsia="ko-KR"/>
                        </w:rPr>
                        <w:t xml:space="preserve"> </w:t>
                      </w:r>
                    </w:p>
                    <w:p w14:paraId="3413F34D" w14:textId="77777777" w:rsidR="00A76E1D" w:rsidRDefault="00A76E1D" w:rsidP="007A7D4F">
                      <w:pPr>
                        <w:numPr>
                          <w:ilvl w:val="1"/>
                          <w:numId w:val="35"/>
                        </w:numPr>
                        <w:autoSpaceDN w:val="0"/>
                        <w:spacing w:after="0" w:line="240" w:lineRule="auto"/>
                        <w:rPr>
                          <w:rFonts w:ascii="Calibri" w:eastAsia="Times New Roman" w:hAnsi="Calibri" w:cs="Calibri"/>
                          <w:color w:val="1F497D"/>
                          <w:lang w:eastAsia="ko-KR"/>
                        </w:rPr>
                      </w:pPr>
                      <w:r>
                        <w:rPr>
                          <w:rFonts w:ascii="Calibri" w:eastAsia="Times New Roman" w:hAnsi="Calibri" w:cs="Calibri"/>
                          <w:color w:val="1F497D"/>
                          <w:lang w:eastAsia="ko-KR"/>
                        </w:rPr>
                        <w:t>“sym14or28or56or48” refers to 14 symbols for 15 kHz SCS, 28 symbols for 30 kHz SCS, 56 symbols for 60 kHz SCS with NCP, and 48 symbols for 60 kHz SCS with ECP, respectively, and so on</w:t>
                      </w:r>
                    </w:p>
                    <w:p w14:paraId="7C698F03" w14:textId="77777777" w:rsidR="00A76E1D" w:rsidRDefault="00A76E1D" w:rsidP="007A7D4F">
                      <w:pPr>
                        <w:numPr>
                          <w:ilvl w:val="0"/>
                          <w:numId w:val="35"/>
                        </w:numPr>
                        <w:autoSpaceDN w:val="0"/>
                        <w:spacing w:after="0" w:line="240" w:lineRule="auto"/>
                        <w:rPr>
                          <w:rFonts w:ascii="Calibri" w:eastAsia="Times New Roman" w:hAnsi="Calibri" w:cs="Calibri"/>
                          <w:color w:val="1F497D"/>
                          <w:lang w:eastAsia="ko-KR"/>
                        </w:rPr>
                      </w:pPr>
                      <w:r>
                        <w:rPr>
                          <w:rFonts w:ascii="Calibri" w:eastAsia="Times New Roman" w:hAnsi="Calibri" w:cs="Calibri"/>
                          <w:color w:val="1F497D"/>
                          <w:lang w:eastAsia="ko-KR"/>
                        </w:rPr>
                        <w:t>Alt 2: {sym1, sym14or12, sym28or24, sym42or36, sym70or60}</w:t>
                      </w:r>
                      <w:r>
                        <w:rPr>
                          <w:rFonts w:eastAsia="Times New Roman"/>
                          <w:color w:val="1F497D"/>
                          <w:lang w:eastAsia="ko-KR"/>
                        </w:rPr>
                        <w:t xml:space="preserve"> </w:t>
                      </w:r>
                    </w:p>
                    <w:p w14:paraId="78A04F36" w14:textId="77777777" w:rsidR="00A76E1D" w:rsidRDefault="00A76E1D" w:rsidP="007A7D4F">
                      <w:pPr>
                        <w:numPr>
                          <w:ilvl w:val="1"/>
                          <w:numId w:val="35"/>
                        </w:numPr>
                        <w:autoSpaceDN w:val="0"/>
                        <w:spacing w:after="0" w:line="240" w:lineRule="auto"/>
                      </w:pPr>
                      <w:r>
                        <w:rPr>
                          <w:rFonts w:ascii="Calibri" w:eastAsia="Times New Roman" w:hAnsi="Calibri" w:cs="Calibri"/>
                          <w:color w:val="1F497D"/>
                          <w:lang w:eastAsia="ko-KR"/>
                        </w:rPr>
                        <w:t>“sym14or12” refers to 14 symbols for NCP and 12 symbols for ECP, respectively, and so on</w:t>
                      </w:r>
                    </w:p>
                  </w:txbxContent>
                </v:textbox>
                <w10:wrap type="square" anchorx="margin"/>
              </v:shape>
            </w:pict>
          </mc:Fallback>
        </mc:AlternateContent>
      </w:r>
      <w:r>
        <w:t>In addition, the following proposal was discussed without conclusion:</w:t>
      </w:r>
    </w:p>
    <w:p w14:paraId="627ECCF4" w14:textId="77777777" w:rsidR="007A7D4F" w:rsidRDefault="007A7D4F" w:rsidP="007A7D4F">
      <w:pPr>
        <w:pStyle w:val="BodyText"/>
      </w:pPr>
    </w:p>
    <w:p w14:paraId="35898954" w14:textId="77777777" w:rsidR="007A7D4F" w:rsidRDefault="007A7D4F" w:rsidP="007A7D4F">
      <w:pPr>
        <w:pStyle w:val="BodyText"/>
      </w:pPr>
      <w:r>
        <w:t xml:space="preserve">The main difference between the two alternative is that for the configuration options other than one symbol (sym1), the configuration options in Alt-1 are based on a fixed absolute time duration that does not scale with the configured reference numerology. In contrast, the configuration options in Alt-2 are based on number of symbols in the configured reference numerology such that the measurement duration (in absolute time) naturally adapts with the configured reference numerology. Based on this, we prefer Alt-2. It can be further discussed if additional values shall be added, since 3 bits are needed to signal the current 5 values. Adding three more values will not increase RRC overhead. </w:t>
      </w:r>
    </w:p>
    <w:p w14:paraId="78662970" w14:textId="77777777" w:rsidR="007A7D4F" w:rsidRDefault="007A7D4F" w:rsidP="007A7D4F">
      <w:pPr>
        <w:pStyle w:val="Proposal"/>
      </w:pPr>
      <w:bookmarkStart w:id="12" w:name="_Toc40463388"/>
      <w:r>
        <w:t>Regarding definition of RSSI measurement duration, we prefer Alt-2.</w:t>
      </w:r>
      <w:bookmarkEnd w:id="12"/>
    </w:p>
    <w:p w14:paraId="0250AA4C" w14:textId="77777777" w:rsidR="007A7D4F" w:rsidRPr="00B204DE" w:rsidRDefault="007A7D4F" w:rsidP="007A7D4F"/>
    <w:p w14:paraId="6B11CB67" w14:textId="2FDD6D2D" w:rsidR="00772DAF" w:rsidRPr="00290A61" w:rsidRDefault="00BF4347" w:rsidP="00BF4347">
      <w:pPr>
        <w:pStyle w:val="Heading2"/>
        <w:rPr>
          <w:lang w:val="en-US"/>
        </w:rPr>
      </w:pPr>
      <w:r w:rsidRPr="00290A61">
        <w:rPr>
          <w:lang w:val="en-US"/>
        </w:rPr>
        <w:t>2.</w:t>
      </w:r>
      <w:r w:rsidR="0014516C">
        <w:rPr>
          <w:lang w:val="en-US"/>
        </w:rPr>
        <w:t>6</w:t>
      </w:r>
      <w:r w:rsidR="004A36FF" w:rsidRPr="00290A61">
        <w:rPr>
          <w:lang w:val="en-US"/>
        </w:rPr>
        <w:tab/>
        <w:t xml:space="preserve">Correction to missing procedure text for </w:t>
      </w:r>
      <w:r w:rsidRPr="00290A61">
        <w:rPr>
          <w:lang w:val="en-US"/>
        </w:rPr>
        <w:t xml:space="preserve">SFN </w:t>
      </w:r>
      <w:r w:rsidR="00E86469" w:rsidRPr="00290A61">
        <w:rPr>
          <w:lang w:val="en-US"/>
        </w:rPr>
        <w:t xml:space="preserve">LSB </w:t>
      </w:r>
      <w:r w:rsidRPr="00290A61">
        <w:rPr>
          <w:lang w:val="en-US"/>
        </w:rPr>
        <w:t xml:space="preserve">bits </w:t>
      </w:r>
      <w:r w:rsidR="00E86469" w:rsidRPr="00290A61">
        <w:rPr>
          <w:lang w:val="en-US"/>
        </w:rPr>
        <w:t xml:space="preserve">signaled </w:t>
      </w:r>
      <w:r w:rsidRPr="00290A61">
        <w:rPr>
          <w:lang w:val="en-US"/>
        </w:rPr>
        <w:t>in DCI</w:t>
      </w:r>
      <w:r w:rsidR="004A36FF" w:rsidRPr="00290A61">
        <w:rPr>
          <w:lang w:val="en-US"/>
        </w:rPr>
        <w:t xml:space="preserve"> 1_0</w:t>
      </w:r>
    </w:p>
    <w:p w14:paraId="2330B021" w14:textId="0F3939C6" w:rsidR="00CE3678" w:rsidRDefault="00BF4347" w:rsidP="00BF4347">
      <w:pPr>
        <w:rPr>
          <w:rFonts w:ascii="Arial" w:hAnsi="Arial"/>
        </w:rPr>
      </w:pPr>
      <w:r w:rsidRPr="00BF4347">
        <w:rPr>
          <w:rFonts w:ascii="Arial" w:hAnsi="Arial"/>
        </w:rPr>
        <w:t xml:space="preserve">To accommodate larger random access response </w:t>
      </w:r>
      <w:r w:rsidR="004A36FF">
        <w:rPr>
          <w:rFonts w:ascii="Arial" w:hAnsi="Arial"/>
        </w:rPr>
        <w:t xml:space="preserve">(RAR) </w:t>
      </w:r>
      <w:r w:rsidRPr="00BF4347">
        <w:rPr>
          <w:rFonts w:ascii="Arial" w:hAnsi="Arial"/>
        </w:rPr>
        <w:t>windows</w:t>
      </w:r>
      <w:r w:rsidR="001B5B01">
        <w:rPr>
          <w:rFonts w:ascii="Arial" w:hAnsi="Arial"/>
        </w:rPr>
        <w:t xml:space="preserve"> for operation with shared spectrum channel access</w:t>
      </w:r>
      <w:r w:rsidRPr="00BF4347">
        <w:rPr>
          <w:rFonts w:ascii="Arial" w:hAnsi="Arial"/>
        </w:rPr>
        <w:t xml:space="preserve">, it was requested </w:t>
      </w:r>
      <w:r w:rsidR="00A66401">
        <w:rPr>
          <w:rFonts w:ascii="Arial" w:hAnsi="Arial"/>
        </w:rPr>
        <w:t>by</w:t>
      </w:r>
      <w:r w:rsidR="00A66401" w:rsidRPr="00BF4347">
        <w:rPr>
          <w:rFonts w:ascii="Arial" w:hAnsi="Arial"/>
        </w:rPr>
        <w:t xml:space="preserve"> </w:t>
      </w:r>
      <w:r w:rsidRPr="00BF4347">
        <w:rPr>
          <w:rFonts w:ascii="Arial" w:hAnsi="Arial"/>
        </w:rPr>
        <w:t xml:space="preserve">RAN2 </w:t>
      </w:r>
      <w:r w:rsidRPr="0053281E">
        <w:rPr>
          <w:rFonts w:ascii="Arial" w:hAnsi="Arial"/>
        </w:rPr>
        <w:fldChar w:fldCharType="begin"/>
      </w:r>
      <w:r w:rsidRPr="00BF4347">
        <w:rPr>
          <w:rFonts w:ascii="Arial" w:hAnsi="Arial"/>
        </w:rPr>
        <w:instrText xml:space="preserve"> REF _Ref31976224 \r \h  \* MERGEFORMAT </w:instrText>
      </w:r>
      <w:r w:rsidRPr="0053281E">
        <w:rPr>
          <w:rFonts w:ascii="Arial" w:hAnsi="Arial"/>
        </w:rPr>
      </w:r>
      <w:r w:rsidRPr="00290A61">
        <w:rPr>
          <w:rFonts w:ascii="Arial" w:hAnsi="Arial"/>
        </w:rPr>
        <w:fldChar w:fldCharType="separate"/>
      </w:r>
      <w:r w:rsidR="00AB4A5D">
        <w:rPr>
          <w:rFonts w:ascii="Arial" w:hAnsi="Arial"/>
        </w:rPr>
        <w:t>[2]</w:t>
      </w:r>
      <w:r w:rsidRPr="0053281E">
        <w:rPr>
          <w:rFonts w:ascii="Arial" w:hAnsi="Arial"/>
        </w:rPr>
        <w:fldChar w:fldCharType="end"/>
      </w:r>
      <w:r w:rsidRPr="00BF4347">
        <w:rPr>
          <w:rFonts w:ascii="Arial" w:hAnsi="Arial"/>
        </w:rPr>
        <w:t xml:space="preserve"> to include 2 bits in DCI used for msg2 and </w:t>
      </w:r>
      <w:proofErr w:type="spellStart"/>
      <w:r w:rsidRPr="00BF4347">
        <w:rPr>
          <w:rFonts w:ascii="Arial" w:hAnsi="Arial"/>
        </w:rPr>
        <w:t>msgB</w:t>
      </w:r>
      <w:proofErr w:type="spellEnd"/>
      <w:r w:rsidRPr="00BF4347">
        <w:rPr>
          <w:rFonts w:ascii="Arial" w:hAnsi="Arial"/>
        </w:rPr>
        <w:t xml:space="preserve"> transmissions</w:t>
      </w:r>
      <w:r w:rsidR="00775158">
        <w:rPr>
          <w:rFonts w:ascii="Arial" w:hAnsi="Arial"/>
        </w:rPr>
        <w:t>, i.e., DCI Format 1_0 with CRC scrambled by RA-RNTI</w:t>
      </w:r>
      <w:r w:rsidR="001B5B01">
        <w:rPr>
          <w:rFonts w:ascii="Arial" w:hAnsi="Arial"/>
        </w:rPr>
        <w:t xml:space="preserve"> or </w:t>
      </w:r>
      <w:proofErr w:type="spellStart"/>
      <w:r w:rsidR="002F2F16">
        <w:rPr>
          <w:rFonts w:ascii="Arial" w:hAnsi="Arial"/>
        </w:rPr>
        <w:t>M</w:t>
      </w:r>
      <w:r w:rsidR="001B5B01">
        <w:rPr>
          <w:rFonts w:ascii="Arial" w:hAnsi="Arial"/>
        </w:rPr>
        <w:t>sgB</w:t>
      </w:r>
      <w:proofErr w:type="spellEnd"/>
      <w:r w:rsidR="001B5B01">
        <w:rPr>
          <w:rFonts w:ascii="Arial" w:hAnsi="Arial"/>
        </w:rPr>
        <w:t>-RNTI</w:t>
      </w:r>
      <w:r w:rsidRPr="00BF4347">
        <w:rPr>
          <w:rFonts w:ascii="Arial" w:hAnsi="Arial"/>
        </w:rPr>
        <w:t xml:space="preserve">. The proposal </w:t>
      </w:r>
      <w:r w:rsidR="004A36FF">
        <w:rPr>
          <w:rFonts w:ascii="Arial" w:hAnsi="Arial"/>
        </w:rPr>
        <w:t xml:space="preserve">from RAN2 was agreed </w:t>
      </w:r>
      <w:r w:rsidR="00775158">
        <w:rPr>
          <w:rFonts w:ascii="Arial" w:hAnsi="Arial"/>
        </w:rPr>
        <w:t>(see</w:t>
      </w:r>
      <w:r w:rsidR="001B5B01">
        <w:rPr>
          <w:rFonts w:ascii="Arial" w:hAnsi="Arial"/>
        </w:rPr>
        <w:t xml:space="preserve"> </w:t>
      </w:r>
      <w:r w:rsidR="001B5B01" w:rsidRPr="0053281E">
        <w:rPr>
          <w:rFonts w:ascii="Arial" w:hAnsi="Arial"/>
        </w:rPr>
        <w:fldChar w:fldCharType="begin"/>
      </w:r>
      <w:r w:rsidR="001B5B01">
        <w:rPr>
          <w:rFonts w:ascii="Arial" w:hAnsi="Arial"/>
        </w:rPr>
        <w:instrText xml:space="preserve"> REF _Ref32240560 \r \h </w:instrText>
      </w:r>
      <w:r w:rsidR="001B5B01" w:rsidRPr="0053281E">
        <w:rPr>
          <w:rFonts w:ascii="Arial" w:hAnsi="Arial"/>
        </w:rPr>
      </w:r>
      <w:r w:rsidR="001B5B01" w:rsidRPr="00290A61">
        <w:rPr>
          <w:rFonts w:ascii="Arial" w:hAnsi="Arial"/>
        </w:rPr>
        <w:fldChar w:fldCharType="separate"/>
      </w:r>
      <w:r w:rsidR="00AB4A5D">
        <w:rPr>
          <w:rFonts w:ascii="Arial" w:hAnsi="Arial"/>
        </w:rPr>
        <w:t>[3]</w:t>
      </w:r>
      <w:r w:rsidR="001B5B01" w:rsidRPr="0053281E">
        <w:rPr>
          <w:rFonts w:ascii="Arial" w:hAnsi="Arial"/>
        </w:rPr>
        <w:fldChar w:fldCharType="end"/>
      </w:r>
      <w:r w:rsidR="00775158">
        <w:rPr>
          <w:rFonts w:ascii="Arial" w:hAnsi="Arial"/>
        </w:rPr>
        <w:t>)</w:t>
      </w:r>
      <w:r w:rsidRPr="00BF4347">
        <w:rPr>
          <w:rFonts w:ascii="Arial" w:hAnsi="Arial"/>
        </w:rPr>
        <w:t xml:space="preserve"> and in 38.212</w:t>
      </w:r>
      <w:r>
        <w:rPr>
          <w:rFonts w:ascii="Arial" w:hAnsi="Arial"/>
        </w:rPr>
        <w:t xml:space="preserve">, two of the reserved bits for DCI format 1_0 are used to signal LSBs of SFN, referring to 38.213. However, </w:t>
      </w:r>
      <w:r w:rsidR="00775158">
        <w:rPr>
          <w:rFonts w:ascii="Arial" w:hAnsi="Arial"/>
        </w:rPr>
        <w:t>the corresponding procedure text</w:t>
      </w:r>
      <w:r>
        <w:rPr>
          <w:rFonts w:ascii="Arial" w:hAnsi="Arial"/>
        </w:rPr>
        <w:t xml:space="preserve"> in 38.213 </w:t>
      </w:r>
      <w:r w:rsidR="00775158">
        <w:rPr>
          <w:rFonts w:ascii="Arial" w:hAnsi="Arial"/>
        </w:rPr>
        <w:t>is missing.</w:t>
      </w:r>
      <w:r w:rsidR="00F1523C">
        <w:rPr>
          <w:rFonts w:ascii="Arial" w:hAnsi="Arial"/>
        </w:rPr>
        <w:t xml:space="preserve"> </w:t>
      </w:r>
    </w:p>
    <w:p w14:paraId="544493E0" w14:textId="5CB22858" w:rsidR="00FD014D" w:rsidRDefault="002653A8" w:rsidP="00BF4347">
      <w:pPr>
        <w:rPr>
          <w:rFonts w:ascii="Arial" w:hAnsi="Arial"/>
        </w:rPr>
      </w:pPr>
      <w:r>
        <w:rPr>
          <w:rFonts w:ascii="Arial" w:hAnsi="Arial"/>
        </w:rPr>
        <w:t>The missing procedure text in 38.213</w:t>
      </w:r>
      <w:r w:rsidR="00FD014D">
        <w:rPr>
          <w:rFonts w:ascii="Arial" w:hAnsi="Arial"/>
        </w:rPr>
        <w:t xml:space="preserve"> </w:t>
      </w:r>
      <w:r w:rsidR="002F2F16">
        <w:rPr>
          <w:rFonts w:ascii="Arial" w:hAnsi="Arial"/>
        </w:rPr>
        <w:t>is</w:t>
      </w:r>
      <w:r w:rsidR="00FD014D">
        <w:rPr>
          <w:rFonts w:ascii="Arial" w:hAnsi="Arial"/>
        </w:rPr>
        <w:t xml:space="preserve"> also pointed out by RAN2 in </w:t>
      </w:r>
      <w:proofErr w:type="gramStart"/>
      <w:r w:rsidR="00FD014D">
        <w:rPr>
          <w:rFonts w:ascii="Arial" w:hAnsi="Arial"/>
        </w:rPr>
        <w:t>an</w:t>
      </w:r>
      <w:proofErr w:type="gramEnd"/>
      <w:r w:rsidR="00FD014D">
        <w:rPr>
          <w:rFonts w:ascii="Arial" w:hAnsi="Arial"/>
        </w:rPr>
        <w:t xml:space="preserve"> LS to RAN1 </w:t>
      </w:r>
      <w:r w:rsidR="00FD014D" w:rsidRPr="0053281E">
        <w:rPr>
          <w:rFonts w:ascii="Arial" w:hAnsi="Arial"/>
        </w:rPr>
        <w:fldChar w:fldCharType="begin"/>
      </w:r>
      <w:r w:rsidR="00FD014D">
        <w:rPr>
          <w:rFonts w:ascii="Arial" w:hAnsi="Arial"/>
        </w:rPr>
        <w:instrText xml:space="preserve"> REF _Ref36806002 \r \h </w:instrText>
      </w:r>
      <w:r w:rsidR="00FD014D" w:rsidRPr="0053281E">
        <w:rPr>
          <w:rFonts w:ascii="Arial" w:hAnsi="Arial"/>
        </w:rPr>
      </w:r>
      <w:r w:rsidR="00FD014D" w:rsidRPr="00290A61">
        <w:rPr>
          <w:rFonts w:ascii="Arial" w:hAnsi="Arial"/>
        </w:rPr>
        <w:fldChar w:fldCharType="separate"/>
      </w:r>
      <w:r w:rsidR="00AB4A5D">
        <w:rPr>
          <w:rFonts w:ascii="Arial" w:hAnsi="Arial"/>
        </w:rPr>
        <w:t>[1]</w:t>
      </w:r>
      <w:r w:rsidR="00FD014D" w:rsidRPr="0053281E">
        <w:rPr>
          <w:rFonts w:ascii="Arial" w:hAnsi="Arial"/>
        </w:rPr>
        <w:fldChar w:fldCharType="end"/>
      </w:r>
      <w:r>
        <w:rPr>
          <w:rFonts w:ascii="Arial" w:hAnsi="Arial"/>
        </w:rPr>
        <w:t xml:space="preserve"> as follows:</w:t>
      </w:r>
    </w:p>
    <w:p w14:paraId="3A2E6E33" w14:textId="271AF1D3" w:rsidR="004A4B83" w:rsidRDefault="004A4B83" w:rsidP="00BF4347">
      <w:pPr>
        <w:rPr>
          <w:rFonts w:ascii="Arial" w:hAnsi="Arial"/>
        </w:rPr>
      </w:pPr>
      <w:r w:rsidRPr="0053281E">
        <w:rPr>
          <w:rFonts w:ascii="Arial" w:hAnsi="Arial"/>
          <w:noProof/>
        </w:rPr>
        <w:lastRenderedPageBreak/>
        <mc:AlternateContent>
          <mc:Choice Requires="wps">
            <w:drawing>
              <wp:anchor distT="45720" distB="45720" distL="114300" distR="114300" simplePos="0" relativeHeight="251662340" behindDoc="0" locked="0" layoutInCell="1" allowOverlap="1" wp14:anchorId="7CC47194" wp14:editId="59D28375">
                <wp:simplePos x="0" y="0"/>
                <wp:positionH relativeFrom="margin">
                  <wp:align>right</wp:align>
                </wp:positionH>
                <wp:positionV relativeFrom="paragraph">
                  <wp:posOffset>2850515</wp:posOffset>
                </wp:positionV>
                <wp:extent cx="6104255" cy="1404620"/>
                <wp:effectExtent l="0" t="0" r="10795" b="2032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09CFEEEA" w14:textId="0A4A870C" w:rsidR="00A76E1D" w:rsidRPr="004C0921" w:rsidRDefault="00A76E1D" w:rsidP="00290A61">
                            <w:pPr>
                              <w:spacing w:after="0" w:line="240" w:lineRule="auto"/>
                              <w:contextualSpacing/>
                              <w:rPr>
                                <w:rFonts w:ascii="Arial" w:eastAsia="Yu Mincho" w:hAnsi="Arial" w:cs="Arial"/>
                                <w:sz w:val="20"/>
                                <w:szCs w:val="20"/>
                                <w:lang w:val="en-GB"/>
                              </w:rPr>
                            </w:pPr>
                            <w:r w:rsidRPr="004A4B83">
                              <w:rPr>
                                <w:rFonts w:ascii="Times New Roman" w:eastAsia="Batang" w:hAnsi="Times New Roman" w:cs="Times New Roman"/>
                                <w:snapToGrid w:val="0"/>
                                <w:kern w:val="2"/>
                                <w:sz w:val="20"/>
                                <w:lang w:val="en-GB" w:eastAsia="ko-KR"/>
                              </w:rPr>
                              <w:t>If the UE detects the DCI format 1_0 with CRC scrambled by the corresponding RA-RNTI, and the LSBs of SFN field in the DCI format 1_0,</w:t>
                            </w:r>
                            <w:r w:rsidRPr="004A4B83">
                              <w:rPr>
                                <w:rFonts w:ascii="Times New Roman" w:eastAsia="SimSun" w:hAnsi="Times New Roman" w:cs="Times New Roman" w:hint="eastAsia"/>
                                <w:snapToGrid w:val="0"/>
                                <w:kern w:val="2"/>
                                <w:sz w:val="20"/>
                                <w:lang w:val="en-GB" w:eastAsia="zh-CN"/>
                              </w:rPr>
                              <w:t xml:space="preserve"> </w:t>
                            </w:r>
                            <w:r w:rsidRPr="00290A61">
                              <w:rPr>
                                <w:rFonts w:ascii="Times New Roman" w:eastAsia="Batang" w:hAnsi="Times New Roman" w:cs="Times New Roman"/>
                                <w:snapToGrid w:val="0"/>
                                <w:kern w:val="2"/>
                                <w:sz w:val="20"/>
                                <w:highlight w:val="yellow"/>
                                <w:lang w:val="en-GB" w:eastAsia="ko-KR"/>
                              </w:rPr>
                              <w:t xml:space="preserve">if </w:t>
                            </w:r>
                            <w:r w:rsidRPr="00290A61">
                              <w:rPr>
                                <w:rFonts w:ascii="Times New Roman" w:eastAsia="SimSun" w:hAnsi="Times New Roman" w:cs="Times New Roman"/>
                                <w:snapToGrid w:val="0"/>
                                <w:kern w:val="2"/>
                                <w:sz w:val="20"/>
                                <w:highlight w:val="yellow"/>
                                <w:lang w:val="en-GB" w:eastAsia="zh-CN"/>
                              </w:rPr>
                              <w:t>included and applicable</w:t>
                            </w:r>
                            <w:r w:rsidRPr="004A4B83">
                              <w:rPr>
                                <w:rFonts w:ascii="Times New Roman" w:eastAsia="Batang" w:hAnsi="Times New Roman" w:cs="Times New Roman"/>
                                <w:snapToGrid w:val="0"/>
                                <w:kern w:val="2"/>
                                <w:sz w:val="20"/>
                                <w:lang w:val="en-GB" w:eastAsia="ko-KR"/>
                              </w:rPr>
                              <w:t xml:space="preserve">, match the LSBs of the SFN in which the PRACH is transmitted, and the UE receives a transport block in a corresponding PDSCH within the window, 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w:t>
                            </w:r>
                            <w:r w:rsidRPr="004A4B83">
                              <w:rPr>
                                <w:rFonts w:ascii="Times New Roman" w:eastAsia="Batang" w:hAnsi="Times New Roman" w:cs="Times New Roman"/>
                                <w:snapToGrid w:val="0"/>
                                <w:kern w:val="2"/>
                                <w:sz w:val="19"/>
                                <w:szCs w:val="19"/>
                                <w:lang w:val="en-GB" w:eastAsia="ko-KR"/>
                              </w:rPr>
                              <w:t>uplink</w:t>
                            </w:r>
                            <w:r w:rsidRPr="004A4B83">
                              <w:rPr>
                                <w:rFonts w:ascii="Times New Roman" w:eastAsia="Batang" w:hAnsi="Times New Roman" w:cs="Times New Roman"/>
                                <w:snapToGrid w:val="0"/>
                                <w:kern w:val="2"/>
                                <w:sz w:val="20"/>
                                <w:lang w:val="en-GB" w:eastAsia="ko-KR"/>
                              </w:rPr>
                              <w:t xml:space="preserve"> grant to the physical layer. </w:t>
                            </w:r>
                            <w:r w:rsidRPr="004A4B83">
                              <w:rPr>
                                <w:rFonts w:ascii="Times New Roman" w:eastAsia="Batang" w:hAnsi="Times New Roman" w:cs="Times New Roman" w:hint="eastAsia"/>
                                <w:snapToGrid w:val="0"/>
                                <w:kern w:val="2"/>
                                <w:sz w:val="20"/>
                                <w:lang w:val="en-GB" w:eastAsia="ko-KR"/>
                              </w:rPr>
                              <w:t xml:space="preserve">This is referred to </w:t>
                            </w:r>
                            <w:r w:rsidRPr="004A4B83">
                              <w:rPr>
                                <w:rFonts w:ascii="Times New Roman" w:eastAsia="Batang" w:hAnsi="Times New Roman" w:cs="Times New Roman"/>
                                <w:snapToGrid w:val="0"/>
                                <w:kern w:val="2"/>
                                <w:sz w:val="20"/>
                                <w:lang w:val="en-GB" w:eastAsia="ko-KR"/>
                              </w:rPr>
                              <w:t>as</w:t>
                            </w:r>
                            <w:r w:rsidRPr="004A4B83">
                              <w:rPr>
                                <w:rFonts w:ascii="Times New Roman" w:eastAsia="Batang" w:hAnsi="Times New Roman" w:cs="Times New Roman" w:hint="eastAsia"/>
                                <w:snapToGrid w:val="0"/>
                                <w:kern w:val="2"/>
                                <w:sz w:val="20"/>
                                <w:lang w:val="en-GB" w:eastAsia="ko-KR"/>
                              </w:rPr>
                              <w:t xml:space="preserve"> </w:t>
                            </w:r>
                            <w:r w:rsidRPr="004A4B83">
                              <w:rPr>
                                <w:rFonts w:ascii="Times New Roman" w:eastAsia="Batang" w:hAnsi="Times New Roman" w:cs="Times New Roman"/>
                                <w:snapToGrid w:val="0"/>
                                <w:kern w:val="2"/>
                                <w:sz w:val="20"/>
                                <w:lang w:val="en-GB" w:eastAsia="ko-KR"/>
                              </w:rPr>
                              <w:t>r</w:t>
                            </w:r>
                            <w:r w:rsidRPr="004A4B83">
                              <w:rPr>
                                <w:rFonts w:ascii="Times New Roman" w:eastAsia="Batang" w:hAnsi="Times New Roman" w:cs="Times New Roman" w:hint="eastAsia"/>
                                <w:snapToGrid w:val="0"/>
                                <w:kern w:val="2"/>
                                <w:sz w:val="20"/>
                                <w:lang w:val="en-GB" w:eastAsia="ko-KR"/>
                              </w:rPr>
                              <w:t xml:space="preserve">andom </w:t>
                            </w:r>
                            <w:r w:rsidRPr="004A4B83">
                              <w:rPr>
                                <w:rFonts w:ascii="Times New Roman" w:eastAsia="Batang" w:hAnsi="Times New Roman" w:cs="Times New Roman"/>
                                <w:snapToGrid w:val="0"/>
                                <w:kern w:val="2"/>
                                <w:sz w:val="20"/>
                                <w:lang w:val="en-GB" w:eastAsia="ko-KR"/>
                              </w:rPr>
                              <w:t>a</w:t>
                            </w:r>
                            <w:r w:rsidRPr="004A4B83">
                              <w:rPr>
                                <w:rFonts w:ascii="Times New Roman" w:eastAsia="Batang" w:hAnsi="Times New Roman" w:cs="Times New Roman" w:hint="eastAsia"/>
                                <w:snapToGrid w:val="0"/>
                                <w:kern w:val="2"/>
                                <w:sz w:val="20"/>
                                <w:lang w:val="en-GB" w:eastAsia="ko-KR"/>
                              </w:rPr>
                              <w:t xml:space="preserve">ccess </w:t>
                            </w:r>
                            <w:r w:rsidRPr="004A4B83">
                              <w:rPr>
                                <w:rFonts w:ascii="Times New Roman" w:eastAsia="Batang" w:hAnsi="Times New Roman" w:cs="Times New Roman"/>
                                <w:snapToGrid w:val="0"/>
                                <w:kern w:val="2"/>
                                <w:sz w:val="20"/>
                                <w:lang w:val="en-GB" w:eastAsia="ko-KR"/>
                              </w:rPr>
                              <w:t>r</w:t>
                            </w:r>
                            <w:r w:rsidRPr="004A4B83">
                              <w:rPr>
                                <w:rFonts w:ascii="Times New Roman" w:eastAsia="Batang" w:hAnsi="Times New Roman" w:cs="Times New Roman" w:hint="eastAsia"/>
                                <w:snapToGrid w:val="0"/>
                                <w:kern w:val="2"/>
                                <w:sz w:val="20"/>
                                <w:lang w:val="en-GB" w:eastAsia="ko-KR"/>
                              </w:rPr>
                              <w:t xml:space="preserve">esponse </w:t>
                            </w:r>
                            <w:r w:rsidRPr="004A4B83">
                              <w:rPr>
                                <w:rFonts w:ascii="Times New Roman" w:eastAsia="Batang" w:hAnsi="Times New Roman" w:cs="Times New Roman"/>
                                <w:snapToGrid w:val="0"/>
                                <w:kern w:val="2"/>
                                <w:sz w:val="20"/>
                                <w:lang w:val="en-GB" w:eastAsia="ko-KR"/>
                              </w:rPr>
                              <w:t>(RAR) UL g</w:t>
                            </w:r>
                            <w:r w:rsidRPr="004A4B83">
                              <w:rPr>
                                <w:rFonts w:ascii="Times New Roman" w:eastAsia="Batang" w:hAnsi="Times New Roman" w:cs="Times New Roman" w:hint="eastAsia"/>
                                <w:snapToGrid w:val="0"/>
                                <w:kern w:val="2"/>
                                <w:sz w:val="20"/>
                                <w:lang w:val="en-GB" w:eastAsia="ko-KR"/>
                              </w:rPr>
                              <w:t>rant in the physical layer.</w:t>
                            </w:r>
                            <w:r w:rsidRPr="004A4B83">
                              <w:rPr>
                                <w:rFonts w:ascii="Times New Roman" w:eastAsia="Batang" w:hAnsi="Times New Roman" w:cs="Times New Roman"/>
                                <w:snapToGrid w:val="0"/>
                                <w:kern w:val="2"/>
                                <w:sz w:val="20"/>
                                <w:lang w:val="en-GB" w:eastAsia="ko-KR"/>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CC47194" id="_x0000_s1028" type="#_x0000_t202" style="position:absolute;margin-left:429.45pt;margin-top:224.45pt;width:480.65pt;height:110.6pt;z-index:2516623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">
                <v:textbox style="mso-fit-shape-to-text:t">
                  <w:txbxContent>
                    <w:p w14:paraId="09CFEEEA" w14:textId="0A4A870C" w:rsidR="00A76E1D" w:rsidRPr="004C0921" w:rsidRDefault="00A76E1D" w:rsidP="00290A61">
                      <w:pPr>
                        <w:spacing w:after="0" w:line="240" w:lineRule="auto"/>
                        <w:contextualSpacing/>
                        <w:rPr>
                          <w:rFonts w:ascii="Arial" w:eastAsia="Yu Mincho" w:hAnsi="Arial" w:cs="Arial"/>
                          <w:sz w:val="20"/>
                          <w:szCs w:val="20"/>
                          <w:lang w:val="en-GB"/>
                        </w:rPr>
                      </w:pPr>
                      <w:r w:rsidRPr="004A4B83">
                        <w:rPr>
                          <w:rFonts w:ascii="Times New Roman" w:eastAsia="Batang" w:hAnsi="Times New Roman" w:cs="Times New Roman"/>
                          <w:snapToGrid w:val="0"/>
                          <w:kern w:val="2"/>
                          <w:sz w:val="20"/>
                          <w:lang w:val="en-GB" w:eastAsia="ko-KR"/>
                        </w:rPr>
                        <w:t>If the UE detects the DCI format 1_0 with CRC scrambled by the corresponding RA-RNTI, and the LSBs of SFN field in the DCI format 1_0,</w:t>
                      </w:r>
                      <w:r w:rsidRPr="004A4B83">
                        <w:rPr>
                          <w:rFonts w:ascii="Times New Roman" w:eastAsia="SimSun" w:hAnsi="Times New Roman" w:cs="Times New Roman" w:hint="eastAsia"/>
                          <w:snapToGrid w:val="0"/>
                          <w:kern w:val="2"/>
                          <w:sz w:val="20"/>
                          <w:lang w:val="en-GB" w:eastAsia="zh-CN"/>
                        </w:rPr>
                        <w:t xml:space="preserve"> </w:t>
                      </w:r>
                      <w:r w:rsidRPr="00290A61">
                        <w:rPr>
                          <w:rFonts w:ascii="Times New Roman" w:eastAsia="Batang" w:hAnsi="Times New Roman" w:cs="Times New Roman"/>
                          <w:snapToGrid w:val="0"/>
                          <w:kern w:val="2"/>
                          <w:sz w:val="20"/>
                          <w:highlight w:val="yellow"/>
                          <w:lang w:val="en-GB" w:eastAsia="ko-KR"/>
                        </w:rPr>
                        <w:t xml:space="preserve">if </w:t>
                      </w:r>
                      <w:r w:rsidRPr="00290A61">
                        <w:rPr>
                          <w:rFonts w:ascii="Times New Roman" w:eastAsia="SimSun" w:hAnsi="Times New Roman" w:cs="Times New Roman"/>
                          <w:snapToGrid w:val="0"/>
                          <w:kern w:val="2"/>
                          <w:sz w:val="20"/>
                          <w:highlight w:val="yellow"/>
                          <w:lang w:val="en-GB" w:eastAsia="zh-CN"/>
                        </w:rPr>
                        <w:t>included and applicable</w:t>
                      </w:r>
                      <w:r w:rsidRPr="004A4B83">
                        <w:rPr>
                          <w:rFonts w:ascii="Times New Roman" w:eastAsia="Batang" w:hAnsi="Times New Roman" w:cs="Times New Roman"/>
                          <w:snapToGrid w:val="0"/>
                          <w:kern w:val="2"/>
                          <w:sz w:val="20"/>
                          <w:lang w:val="en-GB" w:eastAsia="ko-KR"/>
                        </w:rPr>
                        <w:t xml:space="preserve">, match the LSBs of the SFN in which the PRACH is transmitted, and the UE receives a transport block in a corresponding PDSCH within the window, 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w:t>
                      </w:r>
                      <w:r w:rsidRPr="004A4B83">
                        <w:rPr>
                          <w:rFonts w:ascii="Times New Roman" w:eastAsia="Batang" w:hAnsi="Times New Roman" w:cs="Times New Roman"/>
                          <w:snapToGrid w:val="0"/>
                          <w:kern w:val="2"/>
                          <w:sz w:val="19"/>
                          <w:szCs w:val="19"/>
                          <w:lang w:val="en-GB" w:eastAsia="ko-KR"/>
                        </w:rPr>
                        <w:t>uplink</w:t>
                      </w:r>
                      <w:r w:rsidRPr="004A4B83">
                        <w:rPr>
                          <w:rFonts w:ascii="Times New Roman" w:eastAsia="Batang" w:hAnsi="Times New Roman" w:cs="Times New Roman"/>
                          <w:snapToGrid w:val="0"/>
                          <w:kern w:val="2"/>
                          <w:sz w:val="20"/>
                          <w:lang w:val="en-GB" w:eastAsia="ko-KR"/>
                        </w:rPr>
                        <w:t xml:space="preserve"> grant to the physical layer. </w:t>
                      </w:r>
                      <w:r w:rsidRPr="004A4B83">
                        <w:rPr>
                          <w:rFonts w:ascii="Times New Roman" w:eastAsia="Batang" w:hAnsi="Times New Roman" w:cs="Times New Roman" w:hint="eastAsia"/>
                          <w:snapToGrid w:val="0"/>
                          <w:kern w:val="2"/>
                          <w:sz w:val="20"/>
                          <w:lang w:val="en-GB" w:eastAsia="ko-KR"/>
                        </w:rPr>
                        <w:t xml:space="preserve">This is referred to </w:t>
                      </w:r>
                      <w:r w:rsidRPr="004A4B83">
                        <w:rPr>
                          <w:rFonts w:ascii="Times New Roman" w:eastAsia="Batang" w:hAnsi="Times New Roman" w:cs="Times New Roman"/>
                          <w:snapToGrid w:val="0"/>
                          <w:kern w:val="2"/>
                          <w:sz w:val="20"/>
                          <w:lang w:val="en-GB" w:eastAsia="ko-KR"/>
                        </w:rPr>
                        <w:t>as</w:t>
                      </w:r>
                      <w:r w:rsidRPr="004A4B83">
                        <w:rPr>
                          <w:rFonts w:ascii="Times New Roman" w:eastAsia="Batang" w:hAnsi="Times New Roman" w:cs="Times New Roman" w:hint="eastAsia"/>
                          <w:snapToGrid w:val="0"/>
                          <w:kern w:val="2"/>
                          <w:sz w:val="20"/>
                          <w:lang w:val="en-GB" w:eastAsia="ko-KR"/>
                        </w:rPr>
                        <w:t xml:space="preserve"> </w:t>
                      </w:r>
                      <w:r w:rsidRPr="004A4B83">
                        <w:rPr>
                          <w:rFonts w:ascii="Times New Roman" w:eastAsia="Batang" w:hAnsi="Times New Roman" w:cs="Times New Roman"/>
                          <w:snapToGrid w:val="0"/>
                          <w:kern w:val="2"/>
                          <w:sz w:val="20"/>
                          <w:lang w:val="en-GB" w:eastAsia="ko-KR"/>
                        </w:rPr>
                        <w:t>r</w:t>
                      </w:r>
                      <w:r w:rsidRPr="004A4B83">
                        <w:rPr>
                          <w:rFonts w:ascii="Times New Roman" w:eastAsia="Batang" w:hAnsi="Times New Roman" w:cs="Times New Roman" w:hint="eastAsia"/>
                          <w:snapToGrid w:val="0"/>
                          <w:kern w:val="2"/>
                          <w:sz w:val="20"/>
                          <w:lang w:val="en-GB" w:eastAsia="ko-KR"/>
                        </w:rPr>
                        <w:t xml:space="preserve">andom </w:t>
                      </w:r>
                      <w:r w:rsidRPr="004A4B83">
                        <w:rPr>
                          <w:rFonts w:ascii="Times New Roman" w:eastAsia="Batang" w:hAnsi="Times New Roman" w:cs="Times New Roman"/>
                          <w:snapToGrid w:val="0"/>
                          <w:kern w:val="2"/>
                          <w:sz w:val="20"/>
                          <w:lang w:val="en-GB" w:eastAsia="ko-KR"/>
                        </w:rPr>
                        <w:t>a</w:t>
                      </w:r>
                      <w:r w:rsidRPr="004A4B83">
                        <w:rPr>
                          <w:rFonts w:ascii="Times New Roman" w:eastAsia="Batang" w:hAnsi="Times New Roman" w:cs="Times New Roman" w:hint="eastAsia"/>
                          <w:snapToGrid w:val="0"/>
                          <w:kern w:val="2"/>
                          <w:sz w:val="20"/>
                          <w:lang w:val="en-GB" w:eastAsia="ko-KR"/>
                        </w:rPr>
                        <w:t xml:space="preserve">ccess </w:t>
                      </w:r>
                      <w:r w:rsidRPr="004A4B83">
                        <w:rPr>
                          <w:rFonts w:ascii="Times New Roman" w:eastAsia="Batang" w:hAnsi="Times New Roman" w:cs="Times New Roman"/>
                          <w:snapToGrid w:val="0"/>
                          <w:kern w:val="2"/>
                          <w:sz w:val="20"/>
                          <w:lang w:val="en-GB" w:eastAsia="ko-KR"/>
                        </w:rPr>
                        <w:t>r</w:t>
                      </w:r>
                      <w:r w:rsidRPr="004A4B83">
                        <w:rPr>
                          <w:rFonts w:ascii="Times New Roman" w:eastAsia="Batang" w:hAnsi="Times New Roman" w:cs="Times New Roman" w:hint="eastAsia"/>
                          <w:snapToGrid w:val="0"/>
                          <w:kern w:val="2"/>
                          <w:sz w:val="20"/>
                          <w:lang w:val="en-GB" w:eastAsia="ko-KR"/>
                        </w:rPr>
                        <w:t xml:space="preserve">esponse </w:t>
                      </w:r>
                      <w:r w:rsidRPr="004A4B83">
                        <w:rPr>
                          <w:rFonts w:ascii="Times New Roman" w:eastAsia="Batang" w:hAnsi="Times New Roman" w:cs="Times New Roman"/>
                          <w:snapToGrid w:val="0"/>
                          <w:kern w:val="2"/>
                          <w:sz w:val="20"/>
                          <w:lang w:val="en-GB" w:eastAsia="ko-KR"/>
                        </w:rPr>
                        <w:t>(RAR) UL g</w:t>
                      </w:r>
                      <w:r w:rsidRPr="004A4B83">
                        <w:rPr>
                          <w:rFonts w:ascii="Times New Roman" w:eastAsia="Batang" w:hAnsi="Times New Roman" w:cs="Times New Roman" w:hint="eastAsia"/>
                          <w:snapToGrid w:val="0"/>
                          <w:kern w:val="2"/>
                          <w:sz w:val="20"/>
                          <w:lang w:val="en-GB" w:eastAsia="ko-KR"/>
                        </w:rPr>
                        <w:t>rant in the physical layer.</w:t>
                      </w:r>
                      <w:r w:rsidRPr="004A4B83">
                        <w:rPr>
                          <w:rFonts w:ascii="Times New Roman" w:eastAsia="Batang" w:hAnsi="Times New Roman" w:cs="Times New Roman"/>
                          <w:snapToGrid w:val="0"/>
                          <w:kern w:val="2"/>
                          <w:sz w:val="20"/>
                          <w:lang w:val="en-GB" w:eastAsia="ko-KR"/>
                        </w:rPr>
                        <w:t xml:space="preserve"> </w:t>
                      </w:r>
                    </w:p>
                  </w:txbxContent>
                </v:textbox>
                <w10:wrap type="topAndBottom" anchorx="margin"/>
              </v:shape>
            </w:pict>
          </mc:Fallback>
        </mc:AlternateContent>
      </w:r>
      <w:r w:rsidR="002653A8" w:rsidRPr="0053281E">
        <w:rPr>
          <w:rFonts w:ascii="Arial" w:hAnsi="Arial"/>
          <w:noProof/>
        </w:rPr>
        <mc:AlternateContent>
          <mc:Choice Requires="wps">
            <w:drawing>
              <wp:anchor distT="45720" distB="45720" distL="114300" distR="114300" simplePos="0" relativeHeight="251658240" behindDoc="0" locked="0" layoutInCell="1" allowOverlap="1" wp14:anchorId="37578FD3" wp14:editId="56160019">
                <wp:simplePos x="0" y="0"/>
                <wp:positionH relativeFrom="margin">
                  <wp:align>right</wp:align>
                </wp:positionH>
                <wp:positionV relativeFrom="paragraph">
                  <wp:posOffset>183515</wp:posOffset>
                </wp:positionV>
                <wp:extent cx="6104255" cy="1404620"/>
                <wp:effectExtent l="0" t="0" r="10795"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1404620"/>
                        </a:xfrm>
                        <a:prstGeom prst="rect">
                          <a:avLst/>
                        </a:prstGeom>
                        <a:solidFill>
                          <a:srgbClr val="FFFFFF"/>
                        </a:solidFill>
                        <a:ln w="9525">
                          <a:solidFill>
                            <a:srgbClr val="000000"/>
                          </a:solidFill>
                          <a:miter lim="800000"/>
                          <a:headEnd/>
                          <a:tailEnd/>
                        </a:ln>
                      </wps:spPr>
                      <wps:txbx>
                        <w:txbxContent>
                          <w:p w14:paraId="4CB0847A" w14:textId="77777777" w:rsidR="00A76E1D" w:rsidRPr="002653A8" w:rsidRDefault="00A76E1D" w:rsidP="002653A8">
                            <w:pPr>
                              <w:spacing w:after="0" w:line="240" w:lineRule="auto"/>
                              <w:rPr>
                                <w:rFonts w:ascii="Arial" w:eastAsia="Yu Mincho" w:hAnsi="Arial" w:cs="Arial"/>
                                <w:iCs/>
                                <w:sz w:val="20"/>
                                <w:szCs w:val="20"/>
                                <w:lang w:val="en-GB" w:eastAsia="ja-JP"/>
                              </w:rPr>
                            </w:pPr>
                            <w:r w:rsidRPr="002653A8">
                              <w:rPr>
                                <w:rFonts w:ascii="Arial" w:eastAsia="Yu Mincho" w:hAnsi="Arial" w:cs="Arial"/>
                                <w:iCs/>
                                <w:sz w:val="20"/>
                                <w:szCs w:val="20"/>
                                <w:lang w:val="en-GB" w:eastAsia="ja-JP"/>
                              </w:rPr>
                              <w:t>RAN2 has discussed the two following topics relating to the random-access procedure in unlicensed spectrum:</w:t>
                            </w:r>
                          </w:p>
                          <w:p w14:paraId="2AD72153" w14:textId="77777777" w:rsidR="00A76E1D" w:rsidRPr="002653A8" w:rsidRDefault="00A76E1D" w:rsidP="002653A8">
                            <w:pPr>
                              <w:spacing w:after="0" w:line="240" w:lineRule="auto"/>
                              <w:rPr>
                                <w:rFonts w:ascii="Arial" w:eastAsia="Malgun Gothic" w:hAnsi="Arial" w:cs="Times New Roman"/>
                                <w:sz w:val="20"/>
                                <w:szCs w:val="20"/>
                                <w:lang w:val="en-GB"/>
                              </w:rPr>
                            </w:pPr>
                          </w:p>
                          <w:p w14:paraId="17248606" w14:textId="1C5EC625" w:rsidR="00A76E1D" w:rsidRPr="004C0921" w:rsidRDefault="00A76E1D" w:rsidP="002653A8">
                            <w:pPr>
                              <w:numPr>
                                <w:ilvl w:val="0"/>
                                <w:numId w:val="30"/>
                              </w:numPr>
                              <w:overflowPunct w:val="0"/>
                              <w:autoSpaceDE w:val="0"/>
                              <w:autoSpaceDN w:val="0"/>
                              <w:adjustRightInd w:val="0"/>
                              <w:spacing w:after="0" w:line="240" w:lineRule="auto"/>
                              <w:ind w:left="360"/>
                              <w:contextualSpacing/>
                              <w:jc w:val="both"/>
                              <w:textAlignment w:val="baseline"/>
                              <w:rPr>
                                <w:rFonts w:ascii="Arial" w:eastAsia="Malgun Gothic" w:hAnsi="Arial" w:cs="Times New Roman"/>
                                <w:sz w:val="20"/>
                                <w:szCs w:val="20"/>
                                <w:lang w:val="en-GB"/>
                              </w:rPr>
                            </w:pPr>
                            <w:r>
                              <w:rPr>
                                <w:rFonts w:ascii="Arial" w:eastAsia="Yu Mincho" w:hAnsi="Arial" w:cs="Arial"/>
                                <w:sz w:val="20"/>
                                <w:szCs w:val="20"/>
                                <w:lang w:val="en-GB"/>
                              </w:rPr>
                              <w:t>…</w:t>
                            </w:r>
                            <w:r w:rsidRPr="002653A8">
                              <w:rPr>
                                <w:rFonts w:ascii="Arial" w:eastAsia="Yu Mincho" w:hAnsi="Arial" w:cs="Arial"/>
                                <w:sz w:val="20"/>
                                <w:szCs w:val="20"/>
                                <w:lang w:val="en-GB"/>
                              </w:rPr>
                              <w:t xml:space="preserve"> </w:t>
                            </w:r>
                          </w:p>
                          <w:p w14:paraId="592DD5DD" w14:textId="154D613B" w:rsidR="00A76E1D" w:rsidRPr="002653A8" w:rsidRDefault="00A76E1D" w:rsidP="004C0921">
                            <w:pPr>
                              <w:overflowPunct w:val="0"/>
                              <w:autoSpaceDE w:val="0"/>
                              <w:autoSpaceDN w:val="0"/>
                              <w:adjustRightInd w:val="0"/>
                              <w:spacing w:after="0" w:line="240" w:lineRule="auto"/>
                              <w:ind w:left="360"/>
                              <w:contextualSpacing/>
                              <w:jc w:val="both"/>
                              <w:textAlignment w:val="baseline"/>
                              <w:rPr>
                                <w:rFonts w:ascii="Arial" w:eastAsia="Malgun Gothic" w:hAnsi="Arial" w:cs="Times New Roman"/>
                                <w:sz w:val="20"/>
                                <w:szCs w:val="20"/>
                                <w:lang w:val="en-GB"/>
                              </w:rPr>
                            </w:pPr>
                          </w:p>
                          <w:p w14:paraId="6F365943" w14:textId="77777777" w:rsidR="00A76E1D" w:rsidRPr="002653A8" w:rsidRDefault="00A76E1D" w:rsidP="002653A8">
                            <w:pPr>
                              <w:numPr>
                                <w:ilvl w:val="0"/>
                                <w:numId w:val="30"/>
                              </w:numPr>
                              <w:overflowPunct w:val="0"/>
                              <w:autoSpaceDE w:val="0"/>
                              <w:autoSpaceDN w:val="0"/>
                              <w:adjustRightInd w:val="0"/>
                              <w:spacing w:after="0" w:line="240" w:lineRule="auto"/>
                              <w:ind w:left="360"/>
                              <w:contextualSpacing/>
                              <w:jc w:val="both"/>
                              <w:textAlignment w:val="baseline"/>
                              <w:rPr>
                                <w:rFonts w:ascii="Arial" w:eastAsia="Yu Mincho" w:hAnsi="Arial" w:cs="Arial"/>
                                <w:sz w:val="20"/>
                                <w:szCs w:val="20"/>
                                <w:lang w:val="en-GB"/>
                              </w:rPr>
                            </w:pPr>
                            <w:r w:rsidRPr="002653A8">
                              <w:rPr>
                                <w:rFonts w:ascii="Arial" w:eastAsia="Yu Mincho" w:hAnsi="Arial" w:cs="Arial"/>
                                <w:sz w:val="20"/>
                                <w:szCs w:val="20"/>
                                <w:lang w:val="en-GB"/>
                              </w:rPr>
                              <w:t>Capturing the relationship between PDSCH and a the LSBs of the SFN signalled in DCI:</w:t>
                            </w:r>
                          </w:p>
                          <w:p w14:paraId="130B4B51" w14:textId="77777777" w:rsidR="00A76E1D" w:rsidRPr="002653A8" w:rsidRDefault="00A76E1D" w:rsidP="002653A8">
                            <w:pPr>
                              <w:spacing w:after="0" w:line="240" w:lineRule="auto"/>
                              <w:ind w:left="360"/>
                              <w:contextualSpacing/>
                              <w:rPr>
                                <w:rFonts w:ascii="Arial" w:eastAsia="Yu Mincho" w:hAnsi="Arial" w:cs="Arial"/>
                                <w:sz w:val="20"/>
                                <w:szCs w:val="20"/>
                                <w:lang w:val="en-GB"/>
                              </w:rPr>
                            </w:pPr>
                          </w:p>
                          <w:p w14:paraId="33550C29" w14:textId="77777777" w:rsidR="00A76E1D" w:rsidRPr="002653A8" w:rsidRDefault="00A76E1D" w:rsidP="002653A8">
                            <w:pPr>
                              <w:spacing w:after="0" w:line="240" w:lineRule="auto"/>
                              <w:ind w:left="360"/>
                              <w:contextualSpacing/>
                              <w:rPr>
                                <w:rFonts w:ascii="Arial" w:eastAsia="Yu Mincho" w:hAnsi="Arial" w:cs="Arial"/>
                                <w:sz w:val="20"/>
                                <w:szCs w:val="20"/>
                                <w:lang w:val="en-GB"/>
                              </w:rPr>
                            </w:pPr>
                            <w:r w:rsidRPr="002653A8">
                              <w:rPr>
                                <w:rFonts w:ascii="Arial" w:eastAsia="Yu Mincho" w:hAnsi="Arial" w:cs="Arial"/>
                                <w:sz w:val="20"/>
                                <w:szCs w:val="20"/>
                                <w:lang w:val="en-GB"/>
                              </w:rPr>
                              <w:t xml:space="preserve">RAN2 agreed a downlink assignment is valid for successful RAR reception if the two LSB bits of the SFN indicated in </w:t>
                            </w:r>
                            <w:r w:rsidRPr="002653A8">
                              <w:rPr>
                                <w:rFonts w:ascii="Arial" w:eastAsia="Malgun Gothic" w:hAnsi="Arial" w:cs="Times New Roman"/>
                                <w:sz w:val="20"/>
                                <w:szCs w:val="20"/>
                                <w:lang w:val="en-GB"/>
                              </w:rPr>
                              <w:t xml:space="preserve">DCI format 1_0 scrambled by RA-RNTI or msgB-RNTI </w:t>
                            </w:r>
                            <w:r w:rsidRPr="002653A8">
                              <w:rPr>
                                <w:rFonts w:ascii="Arial" w:eastAsia="Yu Mincho" w:hAnsi="Arial" w:cs="Arial"/>
                                <w:sz w:val="20"/>
                                <w:szCs w:val="20"/>
                                <w:lang w:val="en-GB"/>
                              </w:rPr>
                              <w:t xml:space="preserve">correspond to the PRACH occasion used to transmit the Random Access Preamble. </w:t>
                            </w:r>
                            <w:r w:rsidRPr="004C0921">
                              <w:rPr>
                                <w:rFonts w:ascii="Arial" w:eastAsia="Yu Mincho" w:hAnsi="Arial" w:cs="Arial"/>
                                <w:sz w:val="20"/>
                                <w:szCs w:val="20"/>
                                <w:highlight w:val="cyan"/>
                                <w:lang w:val="en-GB"/>
                              </w:rPr>
                              <w:t>RAN2 agreed that TS 38.213 should capture such validation, i.e. to determine whether a downlink assignment is valid for successful RAR reception.</w:t>
                            </w:r>
                          </w:p>
                          <w:p w14:paraId="576DE701" w14:textId="0E78D5D8" w:rsidR="00A76E1D" w:rsidRPr="004C0921" w:rsidRDefault="00A76E1D" w:rsidP="004C0921">
                            <w:pPr>
                              <w:spacing w:after="0" w:line="240" w:lineRule="auto"/>
                              <w:ind w:left="360"/>
                              <w:contextualSpacing/>
                              <w:rPr>
                                <w:rFonts w:ascii="Arial" w:eastAsia="Yu Mincho" w:hAnsi="Arial" w:cs="Arial"/>
                                <w:sz w:val="20"/>
                                <w:szCs w:val="20"/>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578FD3" id="_x0000_s1029" type="#_x0000_t202" style="position:absolute;margin-left:429.45pt;margin-top:14.45pt;width:480.6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">
                <v:textbox style="mso-fit-shape-to-text:t">
                  <w:txbxContent>
                    <w:p w14:paraId="4CB0847A" w14:textId="77777777" w:rsidR="00A76E1D" w:rsidRPr="002653A8" w:rsidRDefault="00A76E1D" w:rsidP="002653A8">
                      <w:pPr>
                        <w:spacing w:after="0" w:line="240" w:lineRule="auto"/>
                        <w:rPr>
                          <w:rFonts w:ascii="Arial" w:eastAsia="Yu Mincho" w:hAnsi="Arial" w:cs="Arial"/>
                          <w:iCs/>
                          <w:sz w:val="20"/>
                          <w:szCs w:val="20"/>
                          <w:lang w:val="en-GB" w:eastAsia="ja-JP"/>
                        </w:rPr>
                      </w:pPr>
                      <w:r w:rsidRPr="002653A8">
                        <w:rPr>
                          <w:rFonts w:ascii="Arial" w:eastAsia="Yu Mincho" w:hAnsi="Arial" w:cs="Arial"/>
                          <w:iCs/>
                          <w:sz w:val="20"/>
                          <w:szCs w:val="20"/>
                          <w:lang w:val="en-GB" w:eastAsia="ja-JP"/>
                        </w:rPr>
                        <w:t>RAN2 has discussed the two following topics relating to the random-access procedure in unlicensed spectrum:</w:t>
                      </w:r>
                    </w:p>
                    <w:p w14:paraId="2AD72153" w14:textId="77777777" w:rsidR="00A76E1D" w:rsidRPr="002653A8" w:rsidRDefault="00A76E1D" w:rsidP="002653A8">
                      <w:pPr>
                        <w:spacing w:after="0" w:line="240" w:lineRule="auto"/>
                        <w:rPr>
                          <w:rFonts w:ascii="Arial" w:eastAsia="Malgun Gothic" w:hAnsi="Arial" w:cs="Times New Roman"/>
                          <w:sz w:val="20"/>
                          <w:szCs w:val="20"/>
                          <w:lang w:val="en-GB"/>
                        </w:rPr>
                      </w:pPr>
                    </w:p>
                    <w:p w14:paraId="17248606" w14:textId="1C5EC625" w:rsidR="00A76E1D" w:rsidRPr="004C0921" w:rsidRDefault="00A76E1D" w:rsidP="002653A8">
                      <w:pPr>
                        <w:numPr>
                          <w:ilvl w:val="0"/>
                          <w:numId w:val="30"/>
                        </w:numPr>
                        <w:overflowPunct w:val="0"/>
                        <w:autoSpaceDE w:val="0"/>
                        <w:autoSpaceDN w:val="0"/>
                        <w:adjustRightInd w:val="0"/>
                        <w:spacing w:after="0" w:line="240" w:lineRule="auto"/>
                        <w:ind w:left="360"/>
                        <w:contextualSpacing/>
                        <w:jc w:val="both"/>
                        <w:textAlignment w:val="baseline"/>
                        <w:rPr>
                          <w:rFonts w:ascii="Arial" w:eastAsia="Malgun Gothic" w:hAnsi="Arial" w:cs="Times New Roman"/>
                          <w:sz w:val="20"/>
                          <w:szCs w:val="20"/>
                          <w:lang w:val="en-GB"/>
                        </w:rPr>
                      </w:pPr>
                      <w:r>
                        <w:rPr>
                          <w:rFonts w:ascii="Arial" w:eastAsia="Yu Mincho" w:hAnsi="Arial" w:cs="Arial"/>
                          <w:sz w:val="20"/>
                          <w:szCs w:val="20"/>
                          <w:lang w:val="en-GB"/>
                        </w:rPr>
                        <w:t>…</w:t>
                      </w:r>
                      <w:r w:rsidRPr="002653A8">
                        <w:rPr>
                          <w:rFonts w:ascii="Arial" w:eastAsia="Yu Mincho" w:hAnsi="Arial" w:cs="Arial"/>
                          <w:sz w:val="20"/>
                          <w:szCs w:val="20"/>
                          <w:lang w:val="en-GB"/>
                        </w:rPr>
                        <w:t xml:space="preserve"> </w:t>
                      </w:r>
                    </w:p>
                    <w:p w14:paraId="592DD5DD" w14:textId="154D613B" w:rsidR="00A76E1D" w:rsidRPr="002653A8" w:rsidRDefault="00A76E1D" w:rsidP="004C0921">
                      <w:pPr>
                        <w:overflowPunct w:val="0"/>
                        <w:autoSpaceDE w:val="0"/>
                        <w:autoSpaceDN w:val="0"/>
                        <w:adjustRightInd w:val="0"/>
                        <w:spacing w:after="0" w:line="240" w:lineRule="auto"/>
                        <w:ind w:left="360"/>
                        <w:contextualSpacing/>
                        <w:jc w:val="both"/>
                        <w:textAlignment w:val="baseline"/>
                        <w:rPr>
                          <w:rFonts w:ascii="Arial" w:eastAsia="Malgun Gothic" w:hAnsi="Arial" w:cs="Times New Roman"/>
                          <w:sz w:val="20"/>
                          <w:szCs w:val="20"/>
                          <w:lang w:val="en-GB"/>
                        </w:rPr>
                      </w:pPr>
                    </w:p>
                    <w:p w14:paraId="6F365943" w14:textId="77777777" w:rsidR="00A76E1D" w:rsidRPr="002653A8" w:rsidRDefault="00A76E1D" w:rsidP="002653A8">
                      <w:pPr>
                        <w:numPr>
                          <w:ilvl w:val="0"/>
                          <w:numId w:val="30"/>
                        </w:numPr>
                        <w:overflowPunct w:val="0"/>
                        <w:autoSpaceDE w:val="0"/>
                        <w:autoSpaceDN w:val="0"/>
                        <w:adjustRightInd w:val="0"/>
                        <w:spacing w:after="0" w:line="240" w:lineRule="auto"/>
                        <w:ind w:left="360"/>
                        <w:contextualSpacing/>
                        <w:jc w:val="both"/>
                        <w:textAlignment w:val="baseline"/>
                        <w:rPr>
                          <w:rFonts w:ascii="Arial" w:eastAsia="Yu Mincho" w:hAnsi="Arial" w:cs="Arial"/>
                          <w:sz w:val="20"/>
                          <w:szCs w:val="20"/>
                          <w:lang w:val="en-GB"/>
                        </w:rPr>
                      </w:pPr>
                      <w:r w:rsidRPr="002653A8">
                        <w:rPr>
                          <w:rFonts w:ascii="Arial" w:eastAsia="Yu Mincho" w:hAnsi="Arial" w:cs="Arial"/>
                          <w:sz w:val="20"/>
                          <w:szCs w:val="20"/>
                          <w:lang w:val="en-GB"/>
                        </w:rPr>
                        <w:t>Capturing the relationship between PDSCH and a the LSBs of the SFN signalled in DCI:</w:t>
                      </w:r>
                    </w:p>
                    <w:p w14:paraId="130B4B51" w14:textId="77777777" w:rsidR="00A76E1D" w:rsidRPr="002653A8" w:rsidRDefault="00A76E1D" w:rsidP="002653A8">
                      <w:pPr>
                        <w:spacing w:after="0" w:line="240" w:lineRule="auto"/>
                        <w:ind w:left="360"/>
                        <w:contextualSpacing/>
                        <w:rPr>
                          <w:rFonts w:ascii="Arial" w:eastAsia="Yu Mincho" w:hAnsi="Arial" w:cs="Arial"/>
                          <w:sz w:val="20"/>
                          <w:szCs w:val="20"/>
                          <w:lang w:val="en-GB"/>
                        </w:rPr>
                      </w:pPr>
                    </w:p>
                    <w:p w14:paraId="33550C29" w14:textId="77777777" w:rsidR="00A76E1D" w:rsidRPr="002653A8" w:rsidRDefault="00A76E1D" w:rsidP="002653A8">
                      <w:pPr>
                        <w:spacing w:after="0" w:line="240" w:lineRule="auto"/>
                        <w:ind w:left="360"/>
                        <w:contextualSpacing/>
                        <w:rPr>
                          <w:rFonts w:ascii="Arial" w:eastAsia="Yu Mincho" w:hAnsi="Arial" w:cs="Arial"/>
                          <w:sz w:val="20"/>
                          <w:szCs w:val="20"/>
                          <w:lang w:val="en-GB"/>
                        </w:rPr>
                      </w:pPr>
                      <w:r w:rsidRPr="002653A8">
                        <w:rPr>
                          <w:rFonts w:ascii="Arial" w:eastAsia="Yu Mincho" w:hAnsi="Arial" w:cs="Arial"/>
                          <w:sz w:val="20"/>
                          <w:szCs w:val="20"/>
                          <w:lang w:val="en-GB"/>
                        </w:rPr>
                        <w:t xml:space="preserve">RAN2 agreed a downlink assignment is valid for successful RAR reception if the two LSB bits of the SFN indicated in </w:t>
                      </w:r>
                      <w:r w:rsidRPr="002653A8">
                        <w:rPr>
                          <w:rFonts w:ascii="Arial" w:eastAsia="Malgun Gothic" w:hAnsi="Arial" w:cs="Times New Roman"/>
                          <w:sz w:val="20"/>
                          <w:szCs w:val="20"/>
                          <w:lang w:val="en-GB"/>
                        </w:rPr>
                        <w:t xml:space="preserve">DCI format 1_0 scrambled by RA-RNTI or msgB-RNTI </w:t>
                      </w:r>
                      <w:r w:rsidRPr="002653A8">
                        <w:rPr>
                          <w:rFonts w:ascii="Arial" w:eastAsia="Yu Mincho" w:hAnsi="Arial" w:cs="Arial"/>
                          <w:sz w:val="20"/>
                          <w:szCs w:val="20"/>
                          <w:lang w:val="en-GB"/>
                        </w:rPr>
                        <w:t xml:space="preserve">correspond to the PRACH occasion used to transmit the Random Access Preamble. </w:t>
                      </w:r>
                      <w:r w:rsidRPr="004C0921">
                        <w:rPr>
                          <w:rFonts w:ascii="Arial" w:eastAsia="Yu Mincho" w:hAnsi="Arial" w:cs="Arial"/>
                          <w:sz w:val="20"/>
                          <w:szCs w:val="20"/>
                          <w:highlight w:val="cyan"/>
                          <w:lang w:val="en-GB"/>
                        </w:rPr>
                        <w:t>RAN2 agreed that TS 38.213 should capture such validation, i.e. to determine whether a downlink assignment is valid for successful RAR reception.</w:t>
                      </w:r>
                    </w:p>
                    <w:p w14:paraId="576DE701" w14:textId="0E78D5D8" w:rsidR="00A76E1D" w:rsidRPr="004C0921" w:rsidRDefault="00A76E1D" w:rsidP="004C0921">
                      <w:pPr>
                        <w:spacing w:after="0" w:line="240" w:lineRule="auto"/>
                        <w:ind w:left="360"/>
                        <w:contextualSpacing/>
                        <w:rPr>
                          <w:rFonts w:ascii="Arial" w:eastAsia="Yu Mincho" w:hAnsi="Arial" w:cs="Arial"/>
                          <w:sz w:val="20"/>
                          <w:szCs w:val="20"/>
                          <w:lang w:val="en-GB"/>
                        </w:rPr>
                      </w:pPr>
                    </w:p>
                  </w:txbxContent>
                </v:textbox>
                <w10:wrap type="topAndBottom" anchorx="margin"/>
              </v:shape>
            </w:pict>
          </mc:Fallback>
        </mc:AlternateContent>
      </w:r>
      <w:r>
        <w:rPr>
          <w:rFonts w:ascii="Arial" w:hAnsi="Arial"/>
        </w:rPr>
        <w:t xml:space="preserve">A TP was generated to capture this in RAN1#100b-e (see TP-1 Alt-1 in </w:t>
      </w:r>
      <w:r>
        <w:rPr>
          <w:rFonts w:ascii="Arial" w:hAnsi="Arial"/>
        </w:rPr>
        <w:fldChar w:fldCharType="begin"/>
      </w:r>
      <w:r>
        <w:rPr>
          <w:rFonts w:ascii="Arial" w:hAnsi="Arial"/>
        </w:rPr>
        <w:instrText xml:space="preserve"> REF _Ref40294336 \r \h </w:instrText>
      </w:r>
      <w:r>
        <w:rPr>
          <w:rFonts w:ascii="Arial" w:hAnsi="Arial"/>
        </w:rPr>
      </w:r>
      <w:r>
        <w:rPr>
          <w:rFonts w:ascii="Arial" w:hAnsi="Arial"/>
        </w:rPr>
        <w:fldChar w:fldCharType="separate"/>
      </w:r>
      <w:r w:rsidR="00AB4A5D">
        <w:rPr>
          <w:rFonts w:ascii="Arial" w:hAnsi="Arial"/>
        </w:rPr>
        <w:t>[10]</w:t>
      </w:r>
      <w:r>
        <w:rPr>
          <w:rFonts w:ascii="Arial" w:hAnsi="Arial"/>
        </w:rPr>
        <w:fldChar w:fldCharType="end"/>
      </w:r>
      <w:r>
        <w:rPr>
          <w:rFonts w:ascii="Arial" w:hAnsi="Arial"/>
        </w:rPr>
        <w:t>). This TP was discussed extensively, without conclusion. The main sticking point seems to be the wording “if included, and if applicable.” For example, the first paragraph of the TP reads as follows:</w:t>
      </w:r>
    </w:p>
    <w:p w14:paraId="5CF29BB9" w14:textId="7E3382A6" w:rsidR="004A4B83" w:rsidRDefault="004A4B83" w:rsidP="00BF4347">
      <w:pPr>
        <w:rPr>
          <w:rFonts w:ascii="Arial" w:hAnsi="Arial"/>
        </w:rPr>
      </w:pPr>
      <w:r>
        <w:rPr>
          <w:rFonts w:ascii="Arial" w:hAnsi="Arial"/>
        </w:rPr>
        <w:t xml:space="preserve">The wording “if included” is clear, since 38.212 Section 7.3.1.2.1 clearly states under what conditions the 2 SFN LSB bits are included in DCI 1_0 scrambled by RA-RNTI or </w:t>
      </w:r>
      <w:proofErr w:type="spellStart"/>
      <w:r>
        <w:rPr>
          <w:rFonts w:ascii="Arial" w:hAnsi="Arial"/>
        </w:rPr>
        <w:t>MsgB</w:t>
      </w:r>
      <w:proofErr w:type="spellEnd"/>
      <w:r>
        <w:rPr>
          <w:rFonts w:ascii="Arial" w:hAnsi="Arial"/>
        </w:rPr>
        <w:t xml:space="preserve">-RNTI. However, the wording “if applicable,” is not clear. One case that was </w:t>
      </w:r>
      <w:proofErr w:type="spellStart"/>
      <w:r>
        <w:rPr>
          <w:rFonts w:ascii="Arial" w:hAnsi="Arial"/>
        </w:rPr>
        <w:t>disussed</w:t>
      </w:r>
      <w:proofErr w:type="spellEnd"/>
      <w:r>
        <w:rPr>
          <w:rFonts w:ascii="Arial" w:hAnsi="Arial"/>
        </w:rPr>
        <w:t xml:space="preserve"> is if the RAR window is configured to be less than 10 </w:t>
      </w:r>
      <w:proofErr w:type="spellStart"/>
      <w:r>
        <w:rPr>
          <w:rFonts w:ascii="Arial" w:hAnsi="Arial"/>
        </w:rPr>
        <w:t>ms</w:t>
      </w:r>
      <w:proofErr w:type="spellEnd"/>
      <w:r>
        <w:rPr>
          <w:rFonts w:ascii="Arial" w:hAnsi="Arial"/>
        </w:rPr>
        <w:t>, then the SFN LSB bits are not applicable, and the UE should not have to check them. In our view the TP is close to agreeable; however, we would like to see that the TP also includes wording to describe the scenarios where the SFN bits are not applicable.</w:t>
      </w:r>
    </w:p>
    <w:p w14:paraId="20352C50" w14:textId="09883FAE" w:rsidR="00BF4347" w:rsidRDefault="004A4B83" w:rsidP="00DC11AD">
      <w:pPr>
        <w:pStyle w:val="Proposal"/>
      </w:pPr>
      <w:bookmarkStart w:id="13" w:name="_Toc40294951"/>
      <w:bookmarkStart w:id="14" w:name="_Toc40353864"/>
      <w:bookmarkStart w:id="15" w:name="_Ref31980288"/>
      <w:bookmarkStart w:id="16" w:name="_Toc40463389"/>
      <w:bookmarkEnd w:id="13"/>
      <w:bookmarkEnd w:id="14"/>
      <w:r>
        <w:t>Further discuss TP-1 Alt-1 in R1-2002996 to define under what conditions the SFI LSB bits are not applicable</w:t>
      </w:r>
      <w:r w:rsidR="000E6405">
        <w:t>.</w:t>
      </w:r>
      <w:bookmarkEnd w:id="15"/>
      <w:bookmarkEnd w:id="16"/>
    </w:p>
    <w:p w14:paraId="54FBE565" w14:textId="6B04A134" w:rsidR="00E25619" w:rsidRPr="00290A61" w:rsidRDefault="00E25619">
      <w:pPr>
        <w:pStyle w:val="Heading2"/>
        <w:rPr>
          <w:lang w:val="en-US"/>
        </w:rPr>
      </w:pPr>
      <w:bookmarkStart w:id="17" w:name="_Hlk32238519"/>
      <w:r w:rsidRPr="00290A61">
        <w:rPr>
          <w:lang w:val="en-US"/>
        </w:rPr>
        <w:t>2.</w:t>
      </w:r>
      <w:r w:rsidR="0014516C">
        <w:rPr>
          <w:lang w:val="en-US"/>
        </w:rPr>
        <w:t>7</w:t>
      </w:r>
      <w:r w:rsidRPr="00290A61">
        <w:rPr>
          <w:lang w:val="en-US"/>
        </w:rPr>
        <w:tab/>
        <w:t xml:space="preserve">Gapless </w:t>
      </w:r>
      <w:proofErr w:type="spellStart"/>
      <w:r w:rsidRPr="00290A61">
        <w:rPr>
          <w:lang w:val="en-US"/>
        </w:rPr>
        <w:t>MsgA</w:t>
      </w:r>
      <w:proofErr w:type="spellEnd"/>
      <w:r w:rsidRPr="00290A61">
        <w:rPr>
          <w:lang w:val="en-US"/>
        </w:rPr>
        <w:t xml:space="preserve"> for NR-U</w:t>
      </w:r>
    </w:p>
    <w:p w14:paraId="7309A434" w14:textId="2BA931C4" w:rsidR="00E25619" w:rsidRDefault="00E25619" w:rsidP="00E25619">
      <w:pPr>
        <w:pStyle w:val="BodyText"/>
      </w:pPr>
      <w:r>
        <w:t xml:space="preserve">In RAN1#99, the following agreement was made within the 2-step RACH WI regarding a gap requirement between a </w:t>
      </w:r>
      <w:proofErr w:type="spellStart"/>
      <w:r>
        <w:t>MsgA</w:t>
      </w:r>
      <w:proofErr w:type="spellEnd"/>
      <w:r>
        <w:t xml:space="preserve"> preamble and </w:t>
      </w:r>
      <w:proofErr w:type="spellStart"/>
      <w:r>
        <w:t>MsgA</w:t>
      </w:r>
      <w:proofErr w:type="spellEnd"/>
      <w:r>
        <w:t xml:space="preserve"> PUSCH for the case of operation in licensed bands</w:t>
      </w:r>
      <w:r w:rsidR="006032D0">
        <w:t xml:space="preserve"> </w:t>
      </w:r>
      <w:r w:rsidR="006032D0" w:rsidRPr="0053281E">
        <w:fldChar w:fldCharType="begin"/>
      </w:r>
      <w:r w:rsidR="006032D0">
        <w:instrText xml:space="preserve"> REF _Ref37397533 \r \h </w:instrText>
      </w:r>
      <w:r w:rsidR="006032D0" w:rsidRPr="00290A61">
        <w:fldChar w:fldCharType="separate"/>
      </w:r>
      <w:r w:rsidR="00AB4A5D">
        <w:t>[4]</w:t>
      </w:r>
      <w:r w:rsidR="006032D0" w:rsidRPr="0053281E">
        <w:fldChar w:fldCharType="end"/>
      </w:r>
      <w:r>
        <w:t>.</w:t>
      </w:r>
    </w:p>
    <w:p w14:paraId="53ED5307" w14:textId="77777777" w:rsidR="00E25619" w:rsidRPr="00290A61" w:rsidRDefault="00E25619" w:rsidP="00E25619">
      <w:pPr>
        <w:pStyle w:val="ListParagraph"/>
        <w:shd w:val="clear" w:color="auto" w:fill="FFFFFF"/>
        <w:spacing w:before="100" w:beforeAutospacing="1" w:line="300" w:lineRule="atLeast"/>
        <w:ind w:left="0"/>
        <w:contextualSpacing/>
        <w:rPr>
          <w:rFonts w:ascii="Times New Roman" w:hAnsi="Times New Roman"/>
          <w:b/>
          <w:color w:val="000000"/>
          <w:szCs w:val="20"/>
          <w:lang w:val="en-US"/>
        </w:rPr>
      </w:pPr>
      <w:r w:rsidRPr="00290A61">
        <w:rPr>
          <w:rFonts w:ascii="Times New Roman" w:hAnsi="Times New Roman"/>
          <w:color w:val="000000"/>
          <w:szCs w:val="20"/>
          <w:highlight w:val="green"/>
          <w:lang w:val="en-US"/>
        </w:rPr>
        <w:t>Agreement</w:t>
      </w:r>
      <w:r w:rsidRPr="00290A61">
        <w:rPr>
          <w:rFonts w:ascii="Times New Roman" w:hAnsi="Times New Roman"/>
          <w:b/>
          <w:color w:val="000000"/>
          <w:szCs w:val="20"/>
          <w:lang w:val="en-US"/>
        </w:rPr>
        <w:t>:</w:t>
      </w:r>
    </w:p>
    <w:p w14:paraId="5297225C" w14:textId="77777777" w:rsidR="00E25619" w:rsidRPr="004C0921" w:rsidRDefault="00E25619" w:rsidP="00E25619">
      <w:pPr>
        <w:numPr>
          <w:ilvl w:val="0"/>
          <w:numId w:val="31"/>
        </w:numPr>
        <w:spacing w:after="0" w:line="240" w:lineRule="auto"/>
        <w:rPr>
          <w:rFonts w:ascii="Times New Roman" w:hAnsi="Times New Roman" w:cs="Times New Roman"/>
          <w:szCs w:val="20"/>
        </w:rPr>
      </w:pPr>
      <w:r w:rsidRPr="004C0921">
        <w:rPr>
          <w:rFonts w:ascii="Times New Roman" w:hAnsi="Times New Roman" w:cs="Times New Roman"/>
          <w:szCs w:val="20"/>
        </w:rPr>
        <w:t xml:space="preserve">The minimum transmission gap between the end of </w:t>
      </w:r>
      <w:proofErr w:type="spellStart"/>
      <w:r w:rsidRPr="004C0921">
        <w:rPr>
          <w:rFonts w:ascii="Times New Roman" w:hAnsi="Times New Roman" w:cs="Times New Roman"/>
          <w:szCs w:val="20"/>
        </w:rPr>
        <w:t>msgA</w:t>
      </w:r>
      <w:proofErr w:type="spellEnd"/>
      <w:r w:rsidRPr="004C0921">
        <w:rPr>
          <w:rFonts w:ascii="Times New Roman" w:hAnsi="Times New Roman" w:cs="Times New Roman"/>
          <w:szCs w:val="20"/>
        </w:rPr>
        <w:t xml:space="preserve"> PRACH and the beginning of </w:t>
      </w:r>
      <w:proofErr w:type="spellStart"/>
      <w:r w:rsidRPr="004C0921">
        <w:rPr>
          <w:rFonts w:ascii="Times New Roman" w:hAnsi="Times New Roman" w:cs="Times New Roman"/>
          <w:szCs w:val="20"/>
        </w:rPr>
        <w:t>msgA</w:t>
      </w:r>
      <w:proofErr w:type="spellEnd"/>
      <w:r w:rsidRPr="004C0921">
        <w:rPr>
          <w:rFonts w:ascii="Times New Roman" w:hAnsi="Times New Roman" w:cs="Times New Roman"/>
          <w:szCs w:val="20"/>
        </w:rPr>
        <w:t xml:space="preserve"> PUSCH (guard time excluded) is no less than </w:t>
      </w:r>
      <w:proofErr w:type="spellStart"/>
      <w:r w:rsidRPr="004C0921">
        <w:rPr>
          <w:rFonts w:ascii="Times New Roman" w:hAnsi="Times New Roman" w:cs="Times New Roman"/>
          <w:szCs w:val="20"/>
        </w:rPr>
        <w:t>Ngap</w:t>
      </w:r>
      <w:proofErr w:type="spellEnd"/>
      <w:r w:rsidRPr="004C0921">
        <w:rPr>
          <w:rFonts w:ascii="Times New Roman" w:hAnsi="Times New Roman" w:cs="Times New Roman"/>
          <w:szCs w:val="20"/>
        </w:rPr>
        <w:t> symbols, as specified in TS 38.213, i.e., 2 or 4 symbols depending on the SCS</w:t>
      </w:r>
    </w:p>
    <w:p w14:paraId="0B0E1611" w14:textId="77777777" w:rsidR="00E25619" w:rsidRPr="004C0921" w:rsidRDefault="00E25619" w:rsidP="00E25619">
      <w:pPr>
        <w:numPr>
          <w:ilvl w:val="1"/>
          <w:numId w:val="31"/>
        </w:numPr>
        <w:spacing w:after="0" w:line="240" w:lineRule="auto"/>
        <w:rPr>
          <w:rFonts w:ascii="Times New Roman" w:hAnsi="Times New Roman" w:cs="Times New Roman"/>
          <w:szCs w:val="20"/>
          <w:highlight w:val="cyan"/>
        </w:rPr>
      </w:pPr>
      <w:r w:rsidRPr="004C0921">
        <w:rPr>
          <w:rFonts w:ascii="Times New Roman" w:hAnsi="Times New Roman" w:cs="Times New Roman"/>
          <w:szCs w:val="20"/>
          <w:highlight w:val="cyan"/>
        </w:rPr>
        <w:t>This is not applied for NR-U</w:t>
      </w:r>
    </w:p>
    <w:p w14:paraId="36713A35" w14:textId="77777777" w:rsidR="00E25619" w:rsidRPr="004C0921" w:rsidRDefault="00E25619" w:rsidP="004C0921">
      <w:pPr>
        <w:numPr>
          <w:ilvl w:val="1"/>
          <w:numId w:val="31"/>
        </w:numPr>
        <w:spacing w:after="0" w:line="240" w:lineRule="auto"/>
        <w:rPr>
          <w:rFonts w:ascii="Times New Roman" w:hAnsi="Times New Roman" w:cs="Times New Roman"/>
          <w:szCs w:val="20"/>
        </w:rPr>
      </w:pPr>
      <w:r w:rsidRPr="004C0921">
        <w:rPr>
          <w:rFonts w:ascii="Times New Roman" w:hAnsi="Times New Roman" w:cs="Times New Roman"/>
          <w:szCs w:val="20"/>
        </w:rPr>
        <w:t>Note: This is aligned with Rel-15</w:t>
      </w:r>
    </w:p>
    <w:p w14:paraId="30D2C74A" w14:textId="77777777" w:rsidR="00E25619" w:rsidRDefault="00E25619" w:rsidP="00E25619">
      <w:pPr>
        <w:pStyle w:val="BodyText"/>
      </w:pPr>
    </w:p>
    <w:p w14:paraId="21343907" w14:textId="6910561C" w:rsidR="00E25619" w:rsidRDefault="00E25619" w:rsidP="004C0921">
      <w:pPr>
        <w:pStyle w:val="BodyText"/>
      </w:pPr>
      <w:r>
        <w:t xml:space="preserve">In the UE capability discussion, it is being discussed </w:t>
      </w:r>
      <w:proofErr w:type="gramStart"/>
      <w:r>
        <w:t>whether or not</w:t>
      </w:r>
      <w:proofErr w:type="gramEnd"/>
      <w:r>
        <w:t xml:space="preserve"> the gap should apply to operation with shared spectrum channel access as well. However, we observe that one of the main benefits of 2-step RACH for NR-U is that an additional LBT operation can be avoided if there is less than a 16 us gap between the PRACH and PUSCH parts of </w:t>
      </w:r>
      <w:proofErr w:type="spellStart"/>
      <w:r>
        <w:t>MsgA</w:t>
      </w:r>
      <w:proofErr w:type="spellEnd"/>
      <w:r>
        <w:t xml:space="preserve">. If a </w:t>
      </w:r>
      <w:proofErr w:type="gramStart"/>
      <w:r>
        <w:t>0 symbol</w:t>
      </w:r>
      <w:proofErr w:type="gramEnd"/>
      <w:r>
        <w:t xml:space="preserve"> gap is supported instead of the 2 or 4 symbol gap as for licensed bands, then there exists several different PRACH configurations that would fulfill the less than 16 us requirement, thus avoiding the additional LBT operation. This is beneficial in terms of reduced access latency.</w:t>
      </w:r>
    </w:p>
    <w:p w14:paraId="6B7C7E88" w14:textId="77777777" w:rsidR="00E25619" w:rsidRDefault="00E25619" w:rsidP="00E25619">
      <w:pPr>
        <w:pStyle w:val="Observation"/>
      </w:pPr>
      <w:bookmarkStart w:id="18" w:name="_Toc37058523"/>
      <w:bookmarkStart w:id="19" w:name="_Toc40463381"/>
      <w:r>
        <w:t xml:space="preserve">For operation with shared spectrum channel access, support of a </w:t>
      </w:r>
      <w:proofErr w:type="gramStart"/>
      <w:r>
        <w:t>zero symbol</w:t>
      </w:r>
      <w:proofErr w:type="gramEnd"/>
      <w:r>
        <w:t xml:space="preserve"> gap (</w:t>
      </w:r>
      <w:r w:rsidRPr="004C0921">
        <w:rPr>
          <w:i/>
          <w:iCs/>
        </w:rPr>
        <w:t>N</w:t>
      </w:r>
      <w:r>
        <w:t xml:space="preserve"> = 0) between the PRACH and PUSCH parts of </w:t>
      </w:r>
      <w:proofErr w:type="spellStart"/>
      <w:r>
        <w:t>MsgA</w:t>
      </w:r>
      <w:proofErr w:type="spellEnd"/>
      <w:r>
        <w:t xml:space="preserve"> can avoid an extra LBT operation</w:t>
      </w:r>
      <w:bookmarkEnd w:id="18"/>
      <w:r>
        <w:t xml:space="preserve"> for several different PRACH configurations.</w:t>
      </w:r>
      <w:bookmarkEnd w:id="19"/>
    </w:p>
    <w:p w14:paraId="220F2211" w14:textId="77777777" w:rsidR="00E25619" w:rsidRPr="0034568D" w:rsidRDefault="00E25619" w:rsidP="00E25619">
      <w:pPr>
        <w:spacing w:line="240" w:lineRule="auto"/>
        <w:jc w:val="both"/>
        <w:rPr>
          <w:rFonts w:ascii="Arial" w:hAnsi="Arial"/>
        </w:rPr>
      </w:pPr>
      <w:r>
        <w:rPr>
          <w:rFonts w:ascii="Arial" w:hAnsi="Arial"/>
        </w:rPr>
        <w:t>Hence in our view, it is preferred that UEs capable of 2-step RACH</w:t>
      </w:r>
      <w:r w:rsidRPr="0034568D">
        <w:rPr>
          <w:rFonts w:ascii="Arial" w:hAnsi="Arial"/>
        </w:rPr>
        <w:t xml:space="preserve"> in unlicensed </w:t>
      </w:r>
      <w:r>
        <w:rPr>
          <w:rFonts w:ascii="Arial" w:hAnsi="Arial"/>
        </w:rPr>
        <w:t xml:space="preserve">bands support a zero-symbol gap </w:t>
      </w:r>
      <w:r w:rsidRPr="0034568D">
        <w:rPr>
          <w:rFonts w:ascii="Arial" w:hAnsi="Arial"/>
        </w:rPr>
        <w:t>(</w:t>
      </w:r>
      <w:r w:rsidRPr="004C0921">
        <w:rPr>
          <w:rFonts w:ascii="Arial" w:hAnsi="Arial"/>
          <w:i/>
          <w:iCs/>
        </w:rPr>
        <w:t>N</w:t>
      </w:r>
      <w:r w:rsidRPr="0034568D">
        <w:rPr>
          <w:rFonts w:ascii="Arial" w:hAnsi="Arial"/>
        </w:rPr>
        <w:t xml:space="preserve"> = 0)</w:t>
      </w:r>
      <w:r>
        <w:rPr>
          <w:rFonts w:ascii="Arial" w:hAnsi="Arial"/>
        </w:rPr>
        <w:t xml:space="preserve"> between the PRACH and PUSCH parts of </w:t>
      </w:r>
      <w:proofErr w:type="spellStart"/>
      <w:r>
        <w:rPr>
          <w:rFonts w:ascii="Arial" w:hAnsi="Arial"/>
        </w:rPr>
        <w:t>MsgA</w:t>
      </w:r>
      <w:proofErr w:type="spellEnd"/>
      <w:r w:rsidRPr="0034568D">
        <w:rPr>
          <w:rFonts w:ascii="Arial" w:hAnsi="Arial"/>
        </w:rPr>
        <w:t>.</w:t>
      </w:r>
    </w:p>
    <w:p w14:paraId="399AA6FD" w14:textId="77777777" w:rsidR="00E25619" w:rsidRPr="000030D6" w:rsidRDefault="00E25619" w:rsidP="00E25619">
      <w:pPr>
        <w:pStyle w:val="Proposal"/>
      </w:pPr>
      <w:bookmarkStart w:id="20" w:name="_Toc37058531"/>
      <w:bookmarkStart w:id="21" w:name="_Ref37084330"/>
      <w:bookmarkStart w:id="22" w:name="_Toc40463390"/>
      <w:r w:rsidRPr="000030D6">
        <w:t xml:space="preserve">For 2-step RACH for operation with shared spectrum channel access, support a </w:t>
      </w:r>
      <w:proofErr w:type="gramStart"/>
      <w:r w:rsidRPr="000030D6">
        <w:t>zero symbol</w:t>
      </w:r>
      <w:proofErr w:type="gramEnd"/>
      <w:r w:rsidRPr="000030D6">
        <w:t xml:space="preserve"> gap (</w:t>
      </w:r>
      <w:r w:rsidRPr="004C0921">
        <w:rPr>
          <w:i/>
          <w:iCs/>
        </w:rPr>
        <w:t>N</w:t>
      </w:r>
      <w:r w:rsidRPr="000030D6">
        <w:t xml:space="preserve"> = 0) between the PRACH and PUSCH parts of </w:t>
      </w:r>
      <w:proofErr w:type="spellStart"/>
      <w:r w:rsidRPr="000030D6">
        <w:t>MsgA</w:t>
      </w:r>
      <w:bookmarkEnd w:id="20"/>
      <w:proofErr w:type="spellEnd"/>
      <w:r w:rsidRPr="000030D6">
        <w:t>.</w:t>
      </w:r>
      <w:bookmarkEnd w:id="21"/>
      <w:bookmarkEnd w:id="22"/>
    </w:p>
    <w:p w14:paraId="076366F1" w14:textId="38ED7062" w:rsidR="006810D8" w:rsidRPr="00290A61" w:rsidRDefault="006810D8" w:rsidP="006810D8">
      <w:pPr>
        <w:pStyle w:val="Heading2"/>
        <w:rPr>
          <w:lang w:val="en-US"/>
        </w:rPr>
      </w:pPr>
      <w:r w:rsidRPr="00290A61">
        <w:rPr>
          <w:lang w:val="en-US"/>
        </w:rPr>
        <w:t>2.</w:t>
      </w:r>
      <w:r w:rsidR="0014516C">
        <w:rPr>
          <w:lang w:val="en-US"/>
        </w:rPr>
        <w:t>8</w:t>
      </w:r>
      <w:r w:rsidR="000B31B8" w:rsidRPr="00290A61">
        <w:rPr>
          <w:lang w:val="en-US"/>
        </w:rPr>
        <w:tab/>
      </w:r>
      <w:r w:rsidR="00025F4F" w:rsidRPr="00290A61">
        <w:rPr>
          <w:lang w:val="en-US"/>
        </w:rPr>
        <w:t>Editorial</w:t>
      </w:r>
      <w:r w:rsidR="00C6697B" w:rsidRPr="00290A61">
        <w:rPr>
          <w:lang w:val="en-US"/>
        </w:rPr>
        <w:t xml:space="preserve"> </w:t>
      </w:r>
      <w:r w:rsidR="00025F4F" w:rsidRPr="00290A61">
        <w:rPr>
          <w:lang w:val="en-US"/>
        </w:rPr>
        <w:t>Corrections</w:t>
      </w:r>
    </w:p>
    <w:p w14:paraId="276A1E6C" w14:textId="76B079A7" w:rsidR="00C6697B" w:rsidRPr="00290A61" w:rsidRDefault="00C6697B" w:rsidP="00025F4F">
      <w:pPr>
        <w:pStyle w:val="BodyText"/>
        <w:rPr>
          <w:lang w:eastAsia="ja-JP"/>
        </w:rPr>
      </w:pPr>
      <w:r w:rsidRPr="00290A61">
        <w:rPr>
          <w:lang w:eastAsia="ja-JP"/>
        </w:rPr>
        <w:t>During the review of the CRs and the updated specification</w:t>
      </w:r>
      <w:r w:rsidR="00025F4F" w:rsidRPr="00290A61">
        <w:rPr>
          <w:lang w:eastAsia="ja-JP"/>
        </w:rPr>
        <w:t>s</w:t>
      </w:r>
      <w:r w:rsidRPr="00290A61">
        <w:rPr>
          <w:lang w:eastAsia="ja-JP"/>
        </w:rPr>
        <w:t xml:space="preserve">, </w:t>
      </w:r>
      <w:proofErr w:type="gramStart"/>
      <w:r w:rsidRPr="00290A61">
        <w:rPr>
          <w:lang w:eastAsia="ja-JP"/>
        </w:rPr>
        <w:t>a number of</w:t>
      </w:r>
      <w:proofErr w:type="gramEnd"/>
      <w:r w:rsidRPr="00290A61">
        <w:rPr>
          <w:lang w:eastAsia="ja-JP"/>
        </w:rPr>
        <w:t xml:space="preserve"> corrections of more editorial </w:t>
      </w:r>
      <w:r w:rsidR="00025F4F" w:rsidRPr="00290A61">
        <w:rPr>
          <w:lang w:eastAsia="ja-JP"/>
        </w:rPr>
        <w:t>natures</w:t>
      </w:r>
      <w:r w:rsidRPr="00290A61">
        <w:rPr>
          <w:lang w:eastAsia="ja-JP"/>
        </w:rPr>
        <w:t xml:space="preserve"> have been identified. These corrections are listed here and text proposals for them are included in the Appendix.</w:t>
      </w:r>
    </w:p>
    <w:p w14:paraId="477EDFAA" w14:textId="07FD32DA" w:rsidR="008C04A7" w:rsidRPr="00290A61" w:rsidRDefault="008C04A7" w:rsidP="008C04A7">
      <w:pPr>
        <w:pStyle w:val="Heading3"/>
        <w:rPr>
          <w:lang w:val="en-US"/>
        </w:rPr>
      </w:pPr>
      <w:r w:rsidRPr="00290A61">
        <w:rPr>
          <w:lang w:val="en-US"/>
        </w:rPr>
        <w:t>2.</w:t>
      </w:r>
      <w:r w:rsidR="0014516C">
        <w:rPr>
          <w:lang w:val="en-US"/>
        </w:rPr>
        <w:t>8</w:t>
      </w:r>
      <w:r w:rsidRPr="00290A61">
        <w:rPr>
          <w:lang w:val="en-US"/>
        </w:rPr>
        <w:t>.1</w:t>
      </w:r>
      <w:r w:rsidRPr="00290A61">
        <w:rPr>
          <w:lang w:val="en-US"/>
        </w:rPr>
        <w:tab/>
        <w:t>Correction of association between SS/PBCH blocks and PRACH occasions</w:t>
      </w:r>
    </w:p>
    <w:p w14:paraId="695746B6" w14:textId="158B56C3" w:rsidR="008C04A7" w:rsidRPr="00290A61" w:rsidRDefault="008C04A7" w:rsidP="008C04A7">
      <w:pPr>
        <w:pStyle w:val="BodyText"/>
        <w:spacing w:after="0"/>
        <w:rPr>
          <w:lang w:eastAsia="ja-JP"/>
        </w:rPr>
      </w:pPr>
      <w:r w:rsidRPr="00290A61">
        <w:rPr>
          <w:noProof/>
          <w:lang w:eastAsia="ja-JP"/>
        </w:rPr>
        <mc:AlternateContent>
          <mc:Choice Requires="wps">
            <w:drawing>
              <wp:anchor distT="45720" distB="45720" distL="114300" distR="114300" simplePos="0" relativeHeight="251658241" behindDoc="0" locked="0" layoutInCell="1" allowOverlap="1" wp14:anchorId="68078C50" wp14:editId="049EB527">
                <wp:simplePos x="0" y="0"/>
                <wp:positionH relativeFrom="margin">
                  <wp:align>right</wp:align>
                </wp:positionH>
                <wp:positionV relativeFrom="paragraph">
                  <wp:posOffset>653624</wp:posOffset>
                </wp:positionV>
                <wp:extent cx="6099810" cy="1404620"/>
                <wp:effectExtent l="0" t="0" r="15240" b="23495"/>
                <wp:wrapTopAndBottom/>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404620"/>
                        </a:xfrm>
                        <a:prstGeom prst="rect">
                          <a:avLst/>
                        </a:prstGeom>
                        <a:solidFill>
                          <a:srgbClr val="FFFFFF"/>
                        </a:solidFill>
                        <a:ln w="9525">
                          <a:solidFill>
                            <a:srgbClr val="000000"/>
                          </a:solidFill>
                          <a:miter lim="800000"/>
                          <a:headEnd/>
                          <a:tailEnd/>
                        </a:ln>
                      </wps:spPr>
                      <wps:txbx>
                        <w:txbxContent>
                          <w:p w14:paraId="3153B89D" w14:textId="77777777" w:rsidR="00A76E1D" w:rsidRPr="00F52977" w:rsidRDefault="00A76E1D" w:rsidP="008C04A7">
                            <w:pPr>
                              <w:keepNext/>
                              <w:keepLines/>
                              <w:spacing w:before="180" w:after="180" w:line="240" w:lineRule="auto"/>
                              <w:ind w:left="850" w:hanging="850"/>
                              <w:outlineLvl w:val="1"/>
                              <w:rPr>
                                <w:rFonts w:ascii="Arial" w:eastAsia="Times New Roman" w:hAnsi="Arial" w:cs="Times New Roman"/>
                                <w:sz w:val="32"/>
                                <w:szCs w:val="20"/>
                                <w:lang w:val="en-GB"/>
                              </w:rPr>
                            </w:pPr>
                            <w:bookmarkStart w:id="23" w:name="_Ref491452917"/>
                            <w:bookmarkStart w:id="24" w:name="_Toc12021462"/>
                            <w:bookmarkStart w:id="25" w:name="_Toc20311574"/>
                            <w:bookmarkStart w:id="26" w:name="_Toc26719399"/>
                            <w:bookmarkStart w:id="27" w:name="_Toc29894830"/>
                            <w:bookmarkStart w:id="28" w:name="_Toc29899129"/>
                            <w:bookmarkStart w:id="29" w:name="_Toc29899547"/>
                            <w:bookmarkStart w:id="30" w:name="_Toc29917284"/>
                            <w:bookmarkStart w:id="31" w:name="_Toc36498158"/>
                            <w:r w:rsidRPr="00F52977">
                              <w:rPr>
                                <w:rFonts w:ascii="Arial" w:eastAsia="Times New Roman" w:hAnsi="Arial" w:cs="Times New Roman"/>
                                <w:sz w:val="32"/>
                                <w:szCs w:val="20"/>
                                <w:lang w:val="en-GB"/>
                              </w:rPr>
                              <w:t>8</w:t>
                            </w:r>
                            <w:r w:rsidRPr="00F52977">
                              <w:rPr>
                                <w:rFonts w:ascii="Arial" w:eastAsia="Times New Roman" w:hAnsi="Arial" w:cs="Times New Roman" w:hint="eastAsia"/>
                                <w:sz w:val="32"/>
                                <w:szCs w:val="20"/>
                                <w:lang w:val="en-GB"/>
                              </w:rPr>
                              <w:t>.1</w:t>
                            </w:r>
                            <w:r w:rsidRPr="00F52977">
                              <w:rPr>
                                <w:rFonts w:ascii="Arial" w:eastAsia="Times New Roman" w:hAnsi="Arial" w:cs="Times New Roman" w:hint="eastAsia"/>
                                <w:sz w:val="32"/>
                                <w:szCs w:val="20"/>
                                <w:lang w:val="en-GB"/>
                              </w:rPr>
                              <w:tab/>
                            </w:r>
                            <w:r w:rsidRPr="00F52977">
                              <w:rPr>
                                <w:rFonts w:ascii="Arial" w:eastAsia="Times New Roman" w:hAnsi="Arial" w:cs="Times New Roman"/>
                                <w:sz w:val="32"/>
                                <w:szCs w:val="20"/>
                                <w:lang w:val="en-GB"/>
                              </w:rPr>
                              <w:t>Random access preamble</w:t>
                            </w:r>
                            <w:bookmarkEnd w:id="23"/>
                            <w:bookmarkEnd w:id="24"/>
                            <w:bookmarkEnd w:id="25"/>
                            <w:bookmarkEnd w:id="26"/>
                            <w:bookmarkEnd w:id="27"/>
                            <w:bookmarkEnd w:id="28"/>
                            <w:bookmarkEnd w:id="29"/>
                            <w:bookmarkEnd w:id="30"/>
                            <w:bookmarkEnd w:id="31"/>
                          </w:p>
                          <w:p w14:paraId="73DE39C5" w14:textId="77777777" w:rsidR="00A76E1D" w:rsidRPr="00F52977" w:rsidRDefault="00A76E1D" w:rsidP="008C04A7">
                            <w:pPr>
                              <w:spacing w:after="180" w:line="240" w:lineRule="auto"/>
                              <w:rPr>
                                <w:rFonts w:ascii="Times New Roman" w:eastAsia="Times New Roman" w:hAnsi="Times New Roman" w:cs="Times New Roman"/>
                                <w:sz w:val="20"/>
                                <w:szCs w:val="20"/>
                              </w:rPr>
                            </w:pPr>
                            <w:r w:rsidRPr="00F52977">
                              <w:rPr>
                                <w:rFonts w:ascii="Times New Roman" w:eastAsia="Times New Roman" w:hAnsi="Times New Roman" w:cs="Times New Roman"/>
                                <w:sz w:val="20"/>
                                <w:szCs w:val="20"/>
                                <w:lang w:val="en-GB"/>
                              </w:rPr>
                              <w:t xml:space="preserve">Physical random access procedure is triggered </w:t>
                            </w:r>
                            <w:r w:rsidRPr="004C0921">
                              <w:rPr>
                                <w:rFonts w:ascii="Times New Roman" w:eastAsia="Times New Roman" w:hAnsi="Times New Roman" w:cs="Times New Roman"/>
                                <w:sz w:val="20"/>
                                <w:szCs w:val="20"/>
                                <w:highlight w:val="cyan"/>
                                <w:lang w:val="en-GB"/>
                              </w:rPr>
                              <w:t xml:space="preserve">upon request of a </w:t>
                            </w:r>
                            <w:r w:rsidRPr="004C0921">
                              <w:rPr>
                                <w:rFonts w:ascii="Times New Roman" w:eastAsia="Times New Roman" w:hAnsi="Times New Roman" w:cs="Times New Roman"/>
                                <w:sz w:val="20"/>
                                <w:szCs w:val="20"/>
                                <w:highlight w:val="cyan"/>
                              </w:rPr>
                              <w:t>PRACH</w:t>
                            </w:r>
                            <w:r w:rsidRPr="004C0921">
                              <w:rPr>
                                <w:rFonts w:ascii="Times New Roman" w:eastAsia="Times New Roman" w:hAnsi="Times New Roman" w:cs="Times New Roman"/>
                                <w:sz w:val="20"/>
                                <w:szCs w:val="20"/>
                                <w:highlight w:val="cyan"/>
                                <w:lang w:val="en-GB"/>
                              </w:rPr>
                              <w:t xml:space="preserve"> transmission by higher layers or by a PDCCH order</w:t>
                            </w:r>
                            <w:r w:rsidRPr="00F52977">
                              <w:rPr>
                                <w:rFonts w:ascii="Times New Roman" w:eastAsia="Times New Roman" w:hAnsi="Times New Roman" w:cs="Times New Roman"/>
                                <w:sz w:val="20"/>
                                <w:szCs w:val="20"/>
                                <w:lang w:val="en-GB"/>
                              </w:rPr>
                              <w:t xml:space="preserve">. </w:t>
                            </w:r>
                            <w:r w:rsidRPr="00F52977">
                              <w:rPr>
                                <w:rFonts w:ascii="Times New Roman" w:eastAsia="Times New Roman" w:hAnsi="Times New Roman" w:cs="Times New Roman"/>
                                <w:sz w:val="20"/>
                                <w:szCs w:val="20"/>
                              </w:rPr>
                              <w:t xml:space="preserve">A configuration by higher layers for a PRACH transmission </w:t>
                            </w:r>
                            <w:r w:rsidRPr="00F52977">
                              <w:rPr>
                                <w:rFonts w:ascii="Times New Roman" w:eastAsia="Times New Roman" w:hAnsi="Times New Roman" w:cs="Times New Roman"/>
                                <w:sz w:val="20"/>
                                <w:szCs w:val="20"/>
                                <w:lang w:val="en-GB"/>
                              </w:rPr>
                              <w:t xml:space="preserve">includes the following: </w:t>
                            </w:r>
                          </w:p>
                          <w:p w14:paraId="2F5B397F" w14:textId="77777777" w:rsidR="00A76E1D" w:rsidRPr="00F52977" w:rsidRDefault="00A76E1D" w:rsidP="008C04A7">
                            <w:pPr>
                              <w:spacing w:after="180" w:line="240" w:lineRule="auto"/>
                              <w:ind w:left="568" w:hanging="284"/>
                              <w:rPr>
                                <w:rFonts w:ascii="Times New Roman" w:eastAsia="Times New Roman" w:hAnsi="Times New Roman" w:cs="Times New Roman"/>
                                <w:sz w:val="20"/>
                                <w:szCs w:val="20"/>
                                <w:lang w:val="x-none"/>
                              </w:rPr>
                            </w:pPr>
                            <w:r w:rsidRPr="00F52977">
                              <w:rPr>
                                <w:rFonts w:ascii="Times New Roman" w:eastAsia="Times New Roman" w:hAnsi="Times New Roman" w:cs="Times New Roman"/>
                                <w:sz w:val="20"/>
                                <w:szCs w:val="20"/>
                                <w:lang w:val="x-none"/>
                              </w:rPr>
                              <w:t>-</w:t>
                            </w:r>
                            <w:r w:rsidRPr="00F52977">
                              <w:rPr>
                                <w:rFonts w:ascii="Times New Roman" w:eastAsia="Times New Roman" w:hAnsi="Times New Roman" w:cs="Times New Roman"/>
                                <w:sz w:val="20"/>
                                <w:szCs w:val="20"/>
                                <w:lang w:val="x-none"/>
                              </w:rPr>
                              <w:tab/>
                              <w:t xml:space="preserve">A configuration for PRACH transmission [4, TS 38.211]. </w:t>
                            </w:r>
                          </w:p>
                          <w:p w14:paraId="59B98B96" w14:textId="77777777" w:rsidR="00A76E1D" w:rsidRPr="00F52977" w:rsidRDefault="00A76E1D" w:rsidP="008C04A7">
                            <w:pPr>
                              <w:spacing w:after="180" w:line="240" w:lineRule="auto"/>
                              <w:ind w:left="568" w:hanging="284"/>
                              <w:rPr>
                                <w:rFonts w:ascii="Times New Roman" w:eastAsia="Times New Roman" w:hAnsi="Times New Roman" w:cs="Times New Roman"/>
                                <w:sz w:val="20"/>
                                <w:szCs w:val="20"/>
                                <w:lang w:val="x-none"/>
                              </w:rPr>
                            </w:pPr>
                            <w:r w:rsidRPr="00F52977">
                              <w:rPr>
                                <w:rFonts w:ascii="Times New Roman" w:eastAsia="Times New Roman" w:hAnsi="Times New Roman" w:cs="Times New Roman"/>
                                <w:sz w:val="20"/>
                                <w:szCs w:val="20"/>
                                <w:lang w:val="x-none"/>
                              </w:rPr>
                              <w:t>-</w:t>
                            </w:r>
                            <w:r w:rsidRPr="00F52977">
                              <w:rPr>
                                <w:rFonts w:ascii="Times New Roman" w:eastAsia="Times New Roman" w:hAnsi="Times New Roman" w:cs="Times New Roman"/>
                                <w:sz w:val="20"/>
                                <w:szCs w:val="20"/>
                                <w:lang w:val="x-none"/>
                              </w:rPr>
                              <w:tab/>
                              <w:t xml:space="preserve">A preamble index, a preamble SCS, </w:t>
                            </w:r>
                            <w:r w:rsidRPr="00F52977">
                              <w:rPr>
                                <w:rFonts w:ascii="Times New Roman" w:eastAsia="Times New Roman" w:hAnsi="Times New Roman" w:cs="Times New Roman"/>
                                <w:noProof/>
                                <w:position w:val="-12"/>
                                <w:sz w:val="20"/>
                                <w:szCs w:val="20"/>
                                <w:lang w:val="x-none"/>
                              </w:rPr>
                              <w:drawing>
                                <wp:inline distT="0" distB="0" distL="0" distR="0" wp14:anchorId="3E2CDA26" wp14:editId="59B9C9C8">
                                  <wp:extent cx="636905" cy="2139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6905" cy="213995"/>
                                          </a:xfrm>
                                          <a:prstGeom prst="rect">
                                            <a:avLst/>
                                          </a:prstGeom>
                                          <a:noFill/>
                                          <a:ln>
                                            <a:noFill/>
                                          </a:ln>
                                        </pic:spPr>
                                      </pic:pic>
                                    </a:graphicData>
                                  </a:graphic>
                                </wp:inline>
                              </w:drawing>
                            </w:r>
                            <w:r w:rsidRPr="00F52977">
                              <w:rPr>
                                <w:rFonts w:ascii="Times New Roman" w:eastAsia="Times New Roman" w:hAnsi="Times New Roman" w:cs="Times New Roman"/>
                                <w:sz w:val="20"/>
                                <w:szCs w:val="20"/>
                                <w:lang w:val="x-none"/>
                              </w:rPr>
                              <w:t xml:space="preserve">, a corresponding RA-RNTI, and a PRACH resource.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078C50" id="_x0000_s1030" type="#_x0000_t202" style="position:absolute;left:0;text-align:left;margin-left:429.1pt;margin-top:51.45pt;width:480.3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">
                <v:textbox style="mso-fit-shape-to-text:t">
                  <w:txbxContent>
                    <w:p w14:paraId="3153B89D" w14:textId="77777777" w:rsidR="00A76E1D" w:rsidRPr="00F52977" w:rsidRDefault="00A76E1D" w:rsidP="008C04A7">
                      <w:pPr>
                        <w:keepNext/>
                        <w:keepLines/>
                        <w:spacing w:before="180" w:after="180" w:line="240" w:lineRule="auto"/>
                        <w:ind w:left="850" w:hanging="850"/>
                        <w:outlineLvl w:val="1"/>
                        <w:rPr>
                          <w:rFonts w:ascii="Arial" w:eastAsia="Times New Roman" w:hAnsi="Arial" w:cs="Times New Roman"/>
                          <w:sz w:val="32"/>
                          <w:szCs w:val="20"/>
                          <w:lang w:val="en-GB"/>
                        </w:rPr>
                      </w:pPr>
                      <w:bookmarkStart w:id="32" w:name="_Ref491452917"/>
                      <w:bookmarkStart w:id="33" w:name="_Toc12021462"/>
                      <w:bookmarkStart w:id="34" w:name="_Toc20311574"/>
                      <w:bookmarkStart w:id="35" w:name="_Toc26719399"/>
                      <w:bookmarkStart w:id="36" w:name="_Toc29894830"/>
                      <w:bookmarkStart w:id="37" w:name="_Toc29899129"/>
                      <w:bookmarkStart w:id="38" w:name="_Toc29899547"/>
                      <w:bookmarkStart w:id="39" w:name="_Toc29917284"/>
                      <w:bookmarkStart w:id="40" w:name="_Toc36498158"/>
                      <w:r w:rsidRPr="00F52977">
                        <w:rPr>
                          <w:rFonts w:ascii="Arial" w:eastAsia="Times New Roman" w:hAnsi="Arial" w:cs="Times New Roman"/>
                          <w:sz w:val="32"/>
                          <w:szCs w:val="20"/>
                          <w:lang w:val="en-GB"/>
                        </w:rPr>
                        <w:t>8</w:t>
                      </w:r>
                      <w:r w:rsidRPr="00F52977">
                        <w:rPr>
                          <w:rFonts w:ascii="Arial" w:eastAsia="Times New Roman" w:hAnsi="Arial" w:cs="Times New Roman" w:hint="eastAsia"/>
                          <w:sz w:val="32"/>
                          <w:szCs w:val="20"/>
                          <w:lang w:val="en-GB"/>
                        </w:rPr>
                        <w:t>.1</w:t>
                      </w:r>
                      <w:r w:rsidRPr="00F52977">
                        <w:rPr>
                          <w:rFonts w:ascii="Arial" w:eastAsia="Times New Roman" w:hAnsi="Arial" w:cs="Times New Roman" w:hint="eastAsia"/>
                          <w:sz w:val="32"/>
                          <w:szCs w:val="20"/>
                          <w:lang w:val="en-GB"/>
                        </w:rPr>
                        <w:tab/>
                      </w:r>
                      <w:r w:rsidRPr="00F52977">
                        <w:rPr>
                          <w:rFonts w:ascii="Arial" w:eastAsia="Times New Roman" w:hAnsi="Arial" w:cs="Times New Roman"/>
                          <w:sz w:val="32"/>
                          <w:szCs w:val="20"/>
                          <w:lang w:val="en-GB"/>
                        </w:rPr>
                        <w:t>Random access preamble</w:t>
                      </w:r>
                      <w:bookmarkEnd w:id="32"/>
                      <w:bookmarkEnd w:id="33"/>
                      <w:bookmarkEnd w:id="34"/>
                      <w:bookmarkEnd w:id="35"/>
                      <w:bookmarkEnd w:id="36"/>
                      <w:bookmarkEnd w:id="37"/>
                      <w:bookmarkEnd w:id="38"/>
                      <w:bookmarkEnd w:id="39"/>
                      <w:bookmarkEnd w:id="40"/>
                    </w:p>
                    <w:p w14:paraId="73DE39C5" w14:textId="77777777" w:rsidR="00A76E1D" w:rsidRPr="00F52977" w:rsidRDefault="00A76E1D" w:rsidP="008C04A7">
                      <w:pPr>
                        <w:spacing w:after="180" w:line="240" w:lineRule="auto"/>
                        <w:rPr>
                          <w:rFonts w:ascii="Times New Roman" w:eastAsia="Times New Roman" w:hAnsi="Times New Roman" w:cs="Times New Roman"/>
                          <w:sz w:val="20"/>
                          <w:szCs w:val="20"/>
                        </w:rPr>
                      </w:pPr>
                      <w:r w:rsidRPr="00F52977">
                        <w:rPr>
                          <w:rFonts w:ascii="Times New Roman" w:eastAsia="Times New Roman" w:hAnsi="Times New Roman" w:cs="Times New Roman"/>
                          <w:sz w:val="20"/>
                          <w:szCs w:val="20"/>
                          <w:lang w:val="en-GB"/>
                        </w:rPr>
                        <w:t xml:space="preserve">Physical random access procedure is triggered </w:t>
                      </w:r>
                      <w:r w:rsidRPr="004C0921">
                        <w:rPr>
                          <w:rFonts w:ascii="Times New Roman" w:eastAsia="Times New Roman" w:hAnsi="Times New Roman" w:cs="Times New Roman"/>
                          <w:sz w:val="20"/>
                          <w:szCs w:val="20"/>
                          <w:highlight w:val="cyan"/>
                          <w:lang w:val="en-GB"/>
                        </w:rPr>
                        <w:t xml:space="preserve">upon request of a </w:t>
                      </w:r>
                      <w:r w:rsidRPr="004C0921">
                        <w:rPr>
                          <w:rFonts w:ascii="Times New Roman" w:eastAsia="Times New Roman" w:hAnsi="Times New Roman" w:cs="Times New Roman"/>
                          <w:sz w:val="20"/>
                          <w:szCs w:val="20"/>
                          <w:highlight w:val="cyan"/>
                        </w:rPr>
                        <w:t>PRACH</w:t>
                      </w:r>
                      <w:r w:rsidRPr="004C0921">
                        <w:rPr>
                          <w:rFonts w:ascii="Times New Roman" w:eastAsia="Times New Roman" w:hAnsi="Times New Roman" w:cs="Times New Roman"/>
                          <w:sz w:val="20"/>
                          <w:szCs w:val="20"/>
                          <w:highlight w:val="cyan"/>
                          <w:lang w:val="en-GB"/>
                        </w:rPr>
                        <w:t xml:space="preserve"> transmission by higher layers or by a PDCCH order</w:t>
                      </w:r>
                      <w:r w:rsidRPr="00F52977">
                        <w:rPr>
                          <w:rFonts w:ascii="Times New Roman" w:eastAsia="Times New Roman" w:hAnsi="Times New Roman" w:cs="Times New Roman"/>
                          <w:sz w:val="20"/>
                          <w:szCs w:val="20"/>
                          <w:lang w:val="en-GB"/>
                        </w:rPr>
                        <w:t xml:space="preserve">. </w:t>
                      </w:r>
                      <w:r w:rsidRPr="00F52977">
                        <w:rPr>
                          <w:rFonts w:ascii="Times New Roman" w:eastAsia="Times New Roman" w:hAnsi="Times New Roman" w:cs="Times New Roman"/>
                          <w:sz w:val="20"/>
                          <w:szCs w:val="20"/>
                        </w:rPr>
                        <w:t xml:space="preserve">A configuration by higher layers for a PRACH transmission </w:t>
                      </w:r>
                      <w:r w:rsidRPr="00F52977">
                        <w:rPr>
                          <w:rFonts w:ascii="Times New Roman" w:eastAsia="Times New Roman" w:hAnsi="Times New Roman" w:cs="Times New Roman"/>
                          <w:sz w:val="20"/>
                          <w:szCs w:val="20"/>
                          <w:lang w:val="en-GB"/>
                        </w:rPr>
                        <w:t xml:space="preserve">includes the following: </w:t>
                      </w:r>
                    </w:p>
                    <w:p w14:paraId="2F5B397F" w14:textId="77777777" w:rsidR="00A76E1D" w:rsidRPr="00F52977" w:rsidRDefault="00A76E1D" w:rsidP="008C04A7">
                      <w:pPr>
                        <w:spacing w:after="180" w:line="240" w:lineRule="auto"/>
                        <w:ind w:left="568" w:hanging="284"/>
                        <w:rPr>
                          <w:rFonts w:ascii="Times New Roman" w:eastAsia="Times New Roman" w:hAnsi="Times New Roman" w:cs="Times New Roman"/>
                          <w:sz w:val="20"/>
                          <w:szCs w:val="20"/>
                          <w:lang w:val="x-none"/>
                        </w:rPr>
                      </w:pPr>
                      <w:r w:rsidRPr="00F52977">
                        <w:rPr>
                          <w:rFonts w:ascii="Times New Roman" w:eastAsia="Times New Roman" w:hAnsi="Times New Roman" w:cs="Times New Roman"/>
                          <w:sz w:val="20"/>
                          <w:szCs w:val="20"/>
                          <w:lang w:val="x-none"/>
                        </w:rPr>
                        <w:t>-</w:t>
                      </w:r>
                      <w:r w:rsidRPr="00F52977">
                        <w:rPr>
                          <w:rFonts w:ascii="Times New Roman" w:eastAsia="Times New Roman" w:hAnsi="Times New Roman" w:cs="Times New Roman"/>
                          <w:sz w:val="20"/>
                          <w:szCs w:val="20"/>
                          <w:lang w:val="x-none"/>
                        </w:rPr>
                        <w:tab/>
                        <w:t xml:space="preserve">A configuration for PRACH transmission [4, TS 38.211]. </w:t>
                      </w:r>
                    </w:p>
                    <w:p w14:paraId="59B98B96" w14:textId="77777777" w:rsidR="00A76E1D" w:rsidRPr="00F52977" w:rsidRDefault="00A76E1D" w:rsidP="008C04A7">
                      <w:pPr>
                        <w:spacing w:after="180" w:line="240" w:lineRule="auto"/>
                        <w:ind w:left="568" w:hanging="284"/>
                        <w:rPr>
                          <w:rFonts w:ascii="Times New Roman" w:eastAsia="Times New Roman" w:hAnsi="Times New Roman" w:cs="Times New Roman"/>
                          <w:sz w:val="20"/>
                          <w:szCs w:val="20"/>
                          <w:lang w:val="x-none"/>
                        </w:rPr>
                      </w:pPr>
                      <w:r w:rsidRPr="00F52977">
                        <w:rPr>
                          <w:rFonts w:ascii="Times New Roman" w:eastAsia="Times New Roman" w:hAnsi="Times New Roman" w:cs="Times New Roman"/>
                          <w:sz w:val="20"/>
                          <w:szCs w:val="20"/>
                          <w:lang w:val="x-none"/>
                        </w:rPr>
                        <w:t>-</w:t>
                      </w:r>
                      <w:r w:rsidRPr="00F52977">
                        <w:rPr>
                          <w:rFonts w:ascii="Times New Roman" w:eastAsia="Times New Roman" w:hAnsi="Times New Roman" w:cs="Times New Roman"/>
                          <w:sz w:val="20"/>
                          <w:szCs w:val="20"/>
                          <w:lang w:val="x-none"/>
                        </w:rPr>
                        <w:tab/>
                        <w:t xml:space="preserve">A preamble index, a preamble SCS, </w:t>
                      </w:r>
                      <w:r w:rsidRPr="00F52977">
                        <w:rPr>
                          <w:rFonts w:ascii="Times New Roman" w:eastAsia="Times New Roman" w:hAnsi="Times New Roman" w:cs="Times New Roman"/>
                          <w:noProof/>
                          <w:position w:val="-12"/>
                          <w:sz w:val="20"/>
                          <w:szCs w:val="20"/>
                          <w:lang w:val="x-none"/>
                        </w:rPr>
                        <w:drawing>
                          <wp:inline distT="0" distB="0" distL="0" distR="0" wp14:anchorId="3E2CDA26" wp14:editId="59B9C9C8">
                            <wp:extent cx="636905" cy="2139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6905" cy="213995"/>
                                    </a:xfrm>
                                    <a:prstGeom prst="rect">
                                      <a:avLst/>
                                    </a:prstGeom>
                                    <a:noFill/>
                                    <a:ln>
                                      <a:noFill/>
                                    </a:ln>
                                  </pic:spPr>
                                </pic:pic>
                              </a:graphicData>
                            </a:graphic>
                          </wp:inline>
                        </w:drawing>
                      </w:r>
                      <w:r w:rsidRPr="00F52977">
                        <w:rPr>
                          <w:rFonts w:ascii="Times New Roman" w:eastAsia="Times New Roman" w:hAnsi="Times New Roman" w:cs="Times New Roman"/>
                          <w:sz w:val="20"/>
                          <w:szCs w:val="20"/>
                          <w:lang w:val="x-none"/>
                        </w:rPr>
                        <w:t xml:space="preserve">, a corresponding RA-RNTI, and a PRACH resource. </w:t>
                      </w:r>
                    </w:p>
                  </w:txbxContent>
                </v:textbox>
                <w10:wrap type="topAndBottom" anchorx="margin"/>
              </v:shape>
            </w:pict>
          </mc:Fallback>
        </mc:AlternateContent>
      </w:r>
      <w:r w:rsidRPr="00290A61">
        <w:rPr>
          <w:lang w:eastAsia="ja-JP"/>
        </w:rPr>
        <w:t>The following is stated in 38.213 Section 8.1</w:t>
      </w:r>
      <w:r w:rsidR="00E96E71">
        <w:rPr>
          <w:lang w:eastAsia="ja-JP"/>
        </w:rPr>
        <w:t xml:space="preserve"> </w:t>
      </w:r>
      <w:r w:rsidR="00E96E71">
        <w:rPr>
          <w:lang w:eastAsia="ja-JP"/>
        </w:rPr>
        <w:fldChar w:fldCharType="begin"/>
      </w:r>
      <w:r w:rsidR="00E96E71">
        <w:rPr>
          <w:lang w:eastAsia="ja-JP"/>
        </w:rPr>
        <w:instrText xml:space="preserve"> REF _Ref31119230 \r \h </w:instrText>
      </w:r>
      <w:r w:rsidR="00E96E71">
        <w:rPr>
          <w:lang w:eastAsia="ja-JP"/>
        </w:rPr>
      </w:r>
      <w:r w:rsidR="00E96E71">
        <w:rPr>
          <w:lang w:eastAsia="ja-JP"/>
        </w:rPr>
        <w:fldChar w:fldCharType="separate"/>
      </w:r>
      <w:r w:rsidR="00AB4A5D">
        <w:rPr>
          <w:lang w:eastAsia="ja-JP"/>
        </w:rPr>
        <w:t>[1]</w:t>
      </w:r>
      <w:r w:rsidR="00E96E71">
        <w:rPr>
          <w:lang w:eastAsia="ja-JP"/>
        </w:rPr>
        <w:fldChar w:fldCharType="end"/>
      </w:r>
      <w:r w:rsidRPr="00290A61">
        <w:rPr>
          <w:lang w:eastAsia="ja-JP"/>
        </w:rPr>
        <w:t xml:space="preserve"> which says that the P</w:t>
      </w:r>
      <w:r w:rsidR="00D52CA9" w:rsidRPr="00290A61">
        <w:rPr>
          <w:lang w:eastAsia="ja-JP"/>
        </w:rPr>
        <w:t>R</w:t>
      </w:r>
      <w:r w:rsidRPr="00290A61">
        <w:rPr>
          <w:lang w:eastAsia="ja-JP"/>
        </w:rPr>
        <w:t>ACH transmission can be initiated by higher layers in the UE (i.e., during IDLE/INACTIVE mode) or by a PDCCH order (i.e., during CONNECTED mode):</w:t>
      </w:r>
    </w:p>
    <w:p w14:paraId="544098AC" w14:textId="77777777" w:rsidR="008C04A7" w:rsidRDefault="008C04A7" w:rsidP="008C04A7">
      <w:pPr>
        <w:pStyle w:val="BodyText"/>
      </w:pPr>
      <w:r w:rsidRPr="00290A61">
        <w:rPr>
          <w:lang w:eastAsia="ja-JP"/>
        </w:rPr>
        <w:t xml:space="preserve">For the procedure text later in Section 8.1 related to PRACH transmission initiated by a PDCCH order, the text is very clear that PRACH occasions are associated with SS/PBCH block </w:t>
      </w:r>
      <w:r w:rsidRPr="00290A61">
        <w:rPr>
          <w:i/>
          <w:lang w:eastAsia="ja-JP"/>
        </w:rPr>
        <w:t>indexes</w:t>
      </w:r>
      <w:r w:rsidRPr="00290A61">
        <w:rPr>
          <w:lang w:eastAsia="ja-JP"/>
        </w:rPr>
        <w:t xml:space="preserve">, where the SS/PBCH block index is defined in Section 4.1 equivalently as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r>
          <w:rPr>
            <w:rFonts w:ascii="Cambria Math" w:hAnsi="Cambria Math"/>
          </w:rPr>
          <m:t xml:space="preserve"> </m:t>
        </m:r>
      </m:oMath>
      <w:r>
        <w:t xml:space="preserve">or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w:t>
      </w:r>
    </w:p>
    <w:p w14:paraId="4D2DCF2F" w14:textId="60F8A1BF" w:rsidR="008C04A7" w:rsidRPr="00290A61" w:rsidRDefault="008C04A7" w:rsidP="008C04A7">
      <w:pPr>
        <w:pStyle w:val="BodyText"/>
        <w:rPr>
          <w:lang w:eastAsia="ja-JP"/>
        </w:rPr>
      </w:pPr>
      <w:r>
        <w:t xml:space="preserve">However, for the procedure text earlier Section 8.1 related to PRACH transmissions initiated by higher layers, i.e., for initial access, the text consistently says that PRACH occasions are associated with SS/PBCH blocks (not SS/PBCH block </w:t>
      </w:r>
      <w:r w:rsidRPr="008C04A7">
        <w:rPr>
          <w:i/>
          <w:iCs/>
        </w:rPr>
        <w:t>indexes</w:t>
      </w:r>
      <w:r>
        <w:t xml:space="preserve">). Hence, we propose to add the word “index” to make the text consistent between the two procedures. Clearly, this is important for operation with shared spectrum channel access where an SS/PBCH block can be transmitted in several locations within the </w:t>
      </w:r>
      <w:r w:rsidRPr="00290A61">
        <w:rPr>
          <w:lang w:eastAsia="ja-JP"/>
        </w:rPr>
        <w:t>discovery burst transmission window and map to the same PRACH occasion.</w:t>
      </w:r>
    </w:p>
    <w:p w14:paraId="71720999" w14:textId="27988F98" w:rsidR="008C04A7" w:rsidRPr="00290A61" w:rsidRDefault="008C04A7" w:rsidP="008C04A7">
      <w:pPr>
        <w:pStyle w:val="BodyText"/>
        <w:rPr>
          <w:lang w:eastAsia="ja-JP"/>
        </w:rPr>
      </w:pPr>
      <w:r w:rsidRPr="00290A61">
        <w:rPr>
          <w:lang w:eastAsia="ja-JP"/>
        </w:rPr>
        <w:t>For a text proposal, see Appendix A.1.</w:t>
      </w:r>
    </w:p>
    <w:p w14:paraId="427D5E56" w14:textId="1794811B" w:rsidR="008C04A7" w:rsidRPr="00290A61" w:rsidRDefault="008C04A7" w:rsidP="008C04A7">
      <w:pPr>
        <w:pStyle w:val="Heading3"/>
        <w:rPr>
          <w:lang w:val="en-US"/>
        </w:rPr>
      </w:pPr>
      <w:r w:rsidRPr="00290A61">
        <w:rPr>
          <w:lang w:val="en-US"/>
        </w:rPr>
        <w:t>2.</w:t>
      </w:r>
      <w:r w:rsidR="0014516C">
        <w:rPr>
          <w:lang w:val="en-US"/>
        </w:rPr>
        <w:t>8</w:t>
      </w:r>
      <w:r w:rsidRPr="00290A61">
        <w:rPr>
          <w:lang w:val="en-US"/>
        </w:rPr>
        <w:t>.2</w:t>
      </w:r>
      <w:r w:rsidRPr="00290A61">
        <w:rPr>
          <w:lang w:val="en-US"/>
        </w:rPr>
        <w:tab/>
        <w:t>Correction of path loss reference to an SS/PBCH block</w:t>
      </w:r>
    </w:p>
    <w:p w14:paraId="5E98D764" w14:textId="77777777" w:rsidR="008C04A7" w:rsidRPr="00290A61" w:rsidRDefault="008C04A7" w:rsidP="008C04A7">
      <w:pPr>
        <w:pStyle w:val="BodyText"/>
        <w:rPr>
          <w:lang w:eastAsia="ja-JP"/>
        </w:rPr>
      </w:pPr>
      <w:r w:rsidRPr="00290A61">
        <w:rPr>
          <w:lang w:eastAsia="ja-JP"/>
        </w:rPr>
        <w:t>For operation with shared spectrum access, the UE can use RS resources from any SS/PBCH block with the same SS/PBCH block index as the one from which it obtained the MIB, hence some rewording is needed to capture this. The proposed wording works for both with and without shared spectrum channel access, so it is backwards compatible.</w:t>
      </w:r>
    </w:p>
    <w:p w14:paraId="288C027A" w14:textId="4161A10E" w:rsidR="008C04A7" w:rsidRPr="00290A61" w:rsidRDefault="008C04A7" w:rsidP="008C04A7">
      <w:pPr>
        <w:pStyle w:val="BodyText"/>
        <w:rPr>
          <w:lang w:eastAsia="ja-JP"/>
        </w:rPr>
      </w:pPr>
      <w:r w:rsidRPr="00290A61">
        <w:rPr>
          <w:lang w:eastAsia="ja-JP"/>
        </w:rPr>
        <w:lastRenderedPageBreak/>
        <w:t>For a text proposal, see Appendix A.2.</w:t>
      </w:r>
    </w:p>
    <w:p w14:paraId="114E88A0" w14:textId="3729AD38" w:rsidR="00025F4F" w:rsidRPr="00290A61" w:rsidRDefault="00C6697B" w:rsidP="00C6697B">
      <w:pPr>
        <w:pStyle w:val="Heading3"/>
        <w:rPr>
          <w:lang w:val="en-US"/>
        </w:rPr>
      </w:pPr>
      <w:r w:rsidRPr="00290A61">
        <w:rPr>
          <w:lang w:val="en-US"/>
        </w:rPr>
        <w:t>2.</w:t>
      </w:r>
      <w:r w:rsidR="0014516C">
        <w:rPr>
          <w:lang w:val="en-US"/>
        </w:rPr>
        <w:t>8</w:t>
      </w:r>
      <w:r w:rsidRPr="00290A61">
        <w:rPr>
          <w:lang w:val="en-US"/>
        </w:rPr>
        <w:t>.</w:t>
      </w:r>
      <w:r w:rsidR="008C04A7" w:rsidRPr="00290A61">
        <w:rPr>
          <w:lang w:val="en-US"/>
        </w:rPr>
        <w:t>3</w:t>
      </w:r>
      <w:r w:rsidR="00025F4F" w:rsidRPr="00290A61">
        <w:rPr>
          <w:lang w:val="en-US"/>
        </w:rPr>
        <w:tab/>
      </w:r>
      <w:r w:rsidR="008C04A7" w:rsidRPr="00290A61">
        <w:rPr>
          <w:lang w:val="en-US"/>
        </w:rPr>
        <w:t>Alignment of RRC parameter names</w:t>
      </w:r>
    </w:p>
    <w:p w14:paraId="6370B559" w14:textId="4321D8BD" w:rsidR="00C6697B" w:rsidRPr="00290A61" w:rsidRDefault="00C6697B" w:rsidP="00025F4F">
      <w:pPr>
        <w:pStyle w:val="BodyText"/>
        <w:rPr>
          <w:lang w:eastAsia="ja-JP"/>
        </w:rPr>
      </w:pPr>
      <w:r w:rsidRPr="00290A61">
        <w:rPr>
          <w:lang w:eastAsia="ja-JP"/>
        </w:rPr>
        <w:t xml:space="preserve">The use of </w:t>
      </w:r>
      <w:r w:rsidR="00FD334E" w:rsidRPr="00290A61">
        <w:rPr>
          <w:i/>
          <w:lang w:eastAsia="ja-JP"/>
        </w:rPr>
        <w:t>D</w:t>
      </w:r>
      <w:r w:rsidRPr="00290A61">
        <w:rPr>
          <w:i/>
          <w:lang w:eastAsia="ja-JP"/>
        </w:rPr>
        <w:t>iscoveryBurst-WindowLength-r16</w:t>
      </w:r>
      <w:r w:rsidRPr="00290A61">
        <w:rPr>
          <w:lang w:eastAsia="ja-JP"/>
        </w:rPr>
        <w:t xml:space="preserve"> in 38.213 Sec 4.1 and </w:t>
      </w:r>
      <w:r w:rsidRPr="00290A61">
        <w:rPr>
          <w:i/>
          <w:lang w:eastAsia="ja-JP"/>
        </w:rPr>
        <w:t>EnableConfiguredUL-r16</w:t>
      </w:r>
      <w:r w:rsidRPr="00290A61">
        <w:rPr>
          <w:lang w:eastAsia="ja-JP"/>
        </w:rPr>
        <w:t xml:space="preserve"> in 38.213 Sec 11.1.1 </w:t>
      </w:r>
      <w:r w:rsidR="00025F4F" w:rsidRPr="00290A61">
        <w:rPr>
          <w:lang w:eastAsia="ja-JP"/>
        </w:rPr>
        <w:t>refers</w:t>
      </w:r>
      <w:r w:rsidRPr="00290A61">
        <w:rPr>
          <w:lang w:eastAsia="ja-JP"/>
        </w:rPr>
        <w:t xml:space="preserve"> to the parameter and not the information element, hence it should be written with non-capital starting letter.</w:t>
      </w:r>
    </w:p>
    <w:p w14:paraId="1CC74048" w14:textId="2E5C9C4D" w:rsidR="00C6697B" w:rsidRPr="00290A61" w:rsidRDefault="00C6697B" w:rsidP="00025F4F">
      <w:pPr>
        <w:pStyle w:val="BodyText"/>
        <w:rPr>
          <w:lang w:eastAsia="ja-JP"/>
        </w:rPr>
      </w:pPr>
      <w:r w:rsidRPr="00290A61">
        <w:rPr>
          <w:lang w:eastAsia="ja-JP"/>
        </w:rPr>
        <w:t xml:space="preserve">For </w:t>
      </w:r>
      <w:r w:rsidR="00025F4F" w:rsidRPr="00290A61">
        <w:rPr>
          <w:lang w:eastAsia="ja-JP"/>
        </w:rPr>
        <w:t xml:space="preserve">a </w:t>
      </w:r>
      <w:r w:rsidRPr="00290A61">
        <w:rPr>
          <w:lang w:eastAsia="ja-JP"/>
        </w:rPr>
        <w:t>text proposal, see Appendix A.</w:t>
      </w:r>
      <w:r w:rsidR="008C04A7" w:rsidRPr="00290A61">
        <w:rPr>
          <w:lang w:eastAsia="ja-JP"/>
        </w:rPr>
        <w:t>3</w:t>
      </w:r>
      <w:r w:rsidRPr="00290A61">
        <w:rPr>
          <w:lang w:eastAsia="ja-JP"/>
        </w:rPr>
        <w:t>.</w:t>
      </w:r>
    </w:p>
    <w:p w14:paraId="65CF54C6" w14:textId="54E710F6" w:rsidR="00C6697B" w:rsidRPr="00290A61" w:rsidRDefault="00C6697B" w:rsidP="00C6697B">
      <w:pPr>
        <w:pStyle w:val="Heading3"/>
        <w:rPr>
          <w:lang w:val="en-US"/>
        </w:rPr>
      </w:pPr>
      <w:r w:rsidRPr="00290A61">
        <w:rPr>
          <w:lang w:val="en-US"/>
        </w:rPr>
        <w:t>2.</w:t>
      </w:r>
      <w:r w:rsidR="0014516C">
        <w:rPr>
          <w:lang w:val="en-US"/>
        </w:rPr>
        <w:t>8</w:t>
      </w:r>
      <w:r w:rsidRPr="00290A61">
        <w:rPr>
          <w:lang w:val="en-US"/>
        </w:rPr>
        <w:t>.</w:t>
      </w:r>
      <w:r w:rsidR="008C04A7" w:rsidRPr="00290A61">
        <w:rPr>
          <w:lang w:val="en-US"/>
        </w:rPr>
        <w:t>4</w:t>
      </w:r>
      <w:r w:rsidR="00025F4F" w:rsidRPr="00290A61">
        <w:rPr>
          <w:lang w:val="en-US"/>
        </w:rPr>
        <w:tab/>
        <w:t xml:space="preserve">Correction </w:t>
      </w:r>
      <w:r w:rsidR="008C04A7" w:rsidRPr="00290A61">
        <w:rPr>
          <w:lang w:val="en-US"/>
        </w:rPr>
        <w:t>of</w:t>
      </w:r>
      <w:r w:rsidR="00025F4F" w:rsidRPr="00290A61">
        <w:rPr>
          <w:lang w:val="en-US"/>
        </w:rPr>
        <w:t xml:space="preserve"> notation – remove quotation marks</w:t>
      </w:r>
    </w:p>
    <w:p w14:paraId="478B6E57" w14:textId="16DA2D6F" w:rsidR="00C6697B" w:rsidRPr="00290A61" w:rsidRDefault="00C6697B" w:rsidP="00025F4F">
      <w:pPr>
        <w:pStyle w:val="BodyText"/>
        <w:rPr>
          <w:lang w:eastAsia="ja-JP"/>
        </w:rPr>
      </w:pPr>
      <w:r w:rsidRPr="00290A61">
        <w:rPr>
          <w:lang w:eastAsia="ja-JP"/>
        </w:rPr>
        <w:t xml:space="preserve">In the paragraph above Table 4-1 in 38.213 Sec 4.1, there are </w:t>
      </w:r>
      <w:r w:rsidR="00025F4F" w:rsidRPr="00290A61">
        <w:rPr>
          <w:lang w:eastAsia="ja-JP"/>
        </w:rPr>
        <w:t>quotation</w:t>
      </w:r>
      <w:r w:rsidRPr="00290A61">
        <w:rPr>
          <w:lang w:eastAsia="ja-JP"/>
        </w:rPr>
        <w:t xml:space="preserve"> marks around the text </w:t>
      </w:r>
      <w:r w:rsidRPr="00290A61">
        <w:rPr>
          <w:i/>
          <w:lang w:eastAsia="ja-JP"/>
        </w:rPr>
        <w:t>operation without shared spectrum</w:t>
      </w:r>
      <w:r w:rsidRPr="00290A61">
        <w:rPr>
          <w:lang w:eastAsia="ja-JP"/>
        </w:rPr>
        <w:t xml:space="preserve">, which should be removed to align </w:t>
      </w:r>
      <w:r w:rsidR="00025F4F" w:rsidRPr="00290A61">
        <w:rPr>
          <w:lang w:eastAsia="ja-JP"/>
        </w:rPr>
        <w:t xml:space="preserve">the notation used in this and other specifications for </w:t>
      </w:r>
      <w:r w:rsidRPr="00290A61">
        <w:rPr>
          <w:lang w:eastAsia="ja-JP"/>
        </w:rPr>
        <w:t>with</w:t>
      </w:r>
      <w:r w:rsidR="00025F4F" w:rsidRPr="00290A61">
        <w:rPr>
          <w:lang w:eastAsia="ja-JP"/>
        </w:rPr>
        <w:t>/w</w:t>
      </w:r>
      <w:r w:rsidRPr="00290A61">
        <w:rPr>
          <w:lang w:eastAsia="ja-JP"/>
        </w:rPr>
        <w:t>ithout shared spectrum access.</w:t>
      </w:r>
    </w:p>
    <w:p w14:paraId="193740D9" w14:textId="3D62133A" w:rsidR="00C6697B" w:rsidRPr="00290A61" w:rsidRDefault="00C6697B" w:rsidP="00025F4F">
      <w:pPr>
        <w:pStyle w:val="BodyText"/>
        <w:rPr>
          <w:lang w:eastAsia="ja-JP"/>
        </w:rPr>
      </w:pPr>
      <w:r w:rsidRPr="00290A61">
        <w:rPr>
          <w:lang w:eastAsia="ja-JP"/>
        </w:rPr>
        <w:t xml:space="preserve">For </w:t>
      </w:r>
      <w:r w:rsidR="00025F4F" w:rsidRPr="00290A61">
        <w:rPr>
          <w:lang w:eastAsia="ja-JP"/>
        </w:rPr>
        <w:t xml:space="preserve">a </w:t>
      </w:r>
      <w:r w:rsidRPr="00290A61">
        <w:rPr>
          <w:lang w:eastAsia="ja-JP"/>
        </w:rPr>
        <w:t>text proposal, see Appendix A.</w:t>
      </w:r>
      <w:r w:rsidR="008C04A7" w:rsidRPr="00290A61">
        <w:rPr>
          <w:lang w:eastAsia="ja-JP"/>
        </w:rPr>
        <w:t>4</w:t>
      </w:r>
      <w:r w:rsidRPr="00290A61">
        <w:rPr>
          <w:lang w:eastAsia="ja-JP"/>
        </w:rPr>
        <w:t>.</w:t>
      </w:r>
    </w:p>
    <w:bookmarkEnd w:id="17"/>
    <w:p w14:paraId="43850542" w14:textId="77777777" w:rsidR="00C01F33" w:rsidRPr="00290A61" w:rsidRDefault="00C01F33" w:rsidP="00CE0424">
      <w:pPr>
        <w:pStyle w:val="Heading1"/>
        <w:rPr>
          <w:lang w:val="en-US"/>
        </w:rPr>
      </w:pPr>
      <w:r w:rsidRPr="00290A61">
        <w:rPr>
          <w:lang w:val="en-US"/>
        </w:rPr>
        <w:t>Conclusion</w:t>
      </w:r>
    </w:p>
    <w:p w14:paraId="750FA7A4" w14:textId="1F8B00B8" w:rsidR="00441003" w:rsidRPr="00EA0A41" w:rsidRDefault="00441003" w:rsidP="006E1C82">
      <w:pPr>
        <w:pStyle w:val="BodyText"/>
        <w:rPr>
          <w:b/>
        </w:rPr>
      </w:pPr>
      <w:r>
        <w:t>Based on the discussion in this paper, we observe the following:</w:t>
      </w:r>
    </w:p>
    <w:p w14:paraId="7B3BF183" w14:textId="730C60CF" w:rsidR="00290A61" w:rsidRDefault="00FC4517">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40463377" w:history="1">
        <w:r w:rsidR="00290A61" w:rsidRPr="00E02E5F">
          <w:rPr>
            <w:rStyle w:val="Hyperlink"/>
            <w:noProof/>
          </w:rPr>
          <w:t>Observation 1</w:t>
        </w:r>
        <w:r w:rsidR="00290A61">
          <w:rPr>
            <w:rFonts w:asciiTheme="minorHAnsi" w:eastAsiaTheme="minorEastAsia" w:hAnsiTheme="minorHAnsi"/>
            <w:b w:val="0"/>
            <w:noProof/>
          </w:rPr>
          <w:tab/>
        </w:r>
        <w:r w:rsidR="00290A61" w:rsidRPr="00E02E5F">
          <w:rPr>
            <w:rStyle w:val="Hyperlink"/>
            <w:noProof/>
          </w:rPr>
          <w:t>For LTE LAA, there are 6 candidate starting points for the DRS.</w:t>
        </w:r>
      </w:hyperlink>
    </w:p>
    <w:p w14:paraId="45AD2FFE" w14:textId="17253823" w:rsidR="00290A61" w:rsidRDefault="00290A61">
      <w:pPr>
        <w:pStyle w:val="TableofFigures"/>
        <w:tabs>
          <w:tab w:val="right" w:leader="dot" w:pos="9629"/>
        </w:tabs>
        <w:rPr>
          <w:rFonts w:asciiTheme="minorHAnsi" w:eastAsiaTheme="minorEastAsia" w:hAnsiTheme="minorHAnsi"/>
          <w:b w:val="0"/>
          <w:noProof/>
        </w:rPr>
      </w:pPr>
      <w:hyperlink w:anchor="_Toc40463378" w:history="1">
        <w:r w:rsidRPr="00E02E5F">
          <w:rPr>
            <w:rStyle w:val="Hyperlink"/>
            <w:noProof/>
          </w:rPr>
          <w:t>Observation 2</w:t>
        </w:r>
        <w:r>
          <w:rPr>
            <w:rFonts w:asciiTheme="minorHAnsi" w:eastAsiaTheme="minorEastAsia" w:hAnsiTheme="minorHAnsi"/>
            <w:b w:val="0"/>
            <w:noProof/>
          </w:rPr>
          <w:tab/>
        </w:r>
        <w:r w:rsidRPr="00E02E5F">
          <w:rPr>
            <w:rStyle w:val="Hyperlink"/>
            <w:noProof/>
          </w:rPr>
          <w:t>The gNB has several mechanism to limit the number of candidate SS/PBCH blocks the UE needs to monitor, e.g. configuring a shorter discovery burst transmission window (SMTC window) or restricting the SS/PBCH blocks to measure using ssb-ToMeasue.</w:t>
        </w:r>
      </w:hyperlink>
    </w:p>
    <w:p w14:paraId="2016F16D" w14:textId="081636FD" w:rsidR="00290A61" w:rsidRDefault="00290A61">
      <w:pPr>
        <w:pStyle w:val="TableofFigures"/>
        <w:tabs>
          <w:tab w:val="right" w:leader="dot" w:pos="9629"/>
        </w:tabs>
        <w:rPr>
          <w:rFonts w:asciiTheme="minorHAnsi" w:eastAsiaTheme="minorEastAsia" w:hAnsiTheme="minorHAnsi"/>
          <w:b w:val="0"/>
          <w:noProof/>
        </w:rPr>
      </w:pPr>
      <w:hyperlink w:anchor="_Toc40463379" w:history="1">
        <w:r w:rsidRPr="00E02E5F">
          <w:rPr>
            <w:rStyle w:val="Hyperlink"/>
            <w:noProof/>
          </w:rPr>
          <w:t>Observation 3</w:t>
        </w:r>
        <w:r>
          <w:rPr>
            <w:rFonts w:asciiTheme="minorHAnsi" w:eastAsiaTheme="minorEastAsia" w:hAnsiTheme="minorHAnsi"/>
            <w:b w:val="0"/>
            <w:noProof/>
          </w:rPr>
          <w:tab/>
        </w:r>
        <w:r w:rsidRPr="00E02E5F">
          <w:rPr>
            <w:rStyle w:val="Hyperlink"/>
            <w:noProof/>
          </w:rPr>
          <w:t>Having UE capabilities for cell-wide functionality such as N1/N2 that is even applicable in IDLE mode is highly undesirable.</w:t>
        </w:r>
      </w:hyperlink>
    </w:p>
    <w:p w14:paraId="2B38A762" w14:textId="06831484" w:rsidR="00290A61" w:rsidRDefault="00290A61">
      <w:pPr>
        <w:pStyle w:val="TableofFigures"/>
        <w:tabs>
          <w:tab w:val="right" w:leader="dot" w:pos="9629"/>
        </w:tabs>
        <w:rPr>
          <w:rFonts w:asciiTheme="minorHAnsi" w:eastAsiaTheme="minorEastAsia" w:hAnsiTheme="minorHAnsi"/>
          <w:b w:val="0"/>
          <w:noProof/>
        </w:rPr>
      </w:pPr>
      <w:hyperlink w:anchor="_Toc40463380" w:history="1">
        <w:r w:rsidRPr="00E02E5F">
          <w:rPr>
            <w:rStyle w:val="Hyperlink"/>
            <w:noProof/>
          </w:rPr>
          <w:t>Observation 4</w:t>
        </w:r>
        <w:r>
          <w:rPr>
            <w:rFonts w:asciiTheme="minorHAnsi" w:eastAsiaTheme="minorEastAsia" w:hAnsiTheme="minorHAnsi"/>
            <w:b w:val="0"/>
            <w:noProof/>
          </w:rPr>
          <w:tab/>
        </w:r>
        <w:r w:rsidRPr="00E02E5F">
          <w:rPr>
            <w:rStyle w:val="Hyperlink"/>
            <w:noProof/>
          </w:rPr>
          <w:t>The RAN4 agreement on timing reference cell adjustment does not have any impact on RAN1 specifications.</w:t>
        </w:r>
      </w:hyperlink>
    </w:p>
    <w:p w14:paraId="377A2AB3" w14:textId="15B85DB3" w:rsidR="00290A61" w:rsidRDefault="00290A61">
      <w:pPr>
        <w:pStyle w:val="TableofFigures"/>
        <w:tabs>
          <w:tab w:val="right" w:leader="dot" w:pos="9629"/>
        </w:tabs>
        <w:rPr>
          <w:rFonts w:asciiTheme="minorHAnsi" w:eastAsiaTheme="minorEastAsia" w:hAnsiTheme="minorHAnsi"/>
          <w:b w:val="0"/>
          <w:noProof/>
        </w:rPr>
      </w:pPr>
      <w:hyperlink w:anchor="_Toc40463381" w:history="1">
        <w:r w:rsidRPr="00E02E5F">
          <w:rPr>
            <w:rStyle w:val="Hyperlink"/>
            <w:noProof/>
          </w:rPr>
          <w:t>Observation 5</w:t>
        </w:r>
        <w:r>
          <w:rPr>
            <w:rFonts w:asciiTheme="minorHAnsi" w:eastAsiaTheme="minorEastAsia" w:hAnsiTheme="minorHAnsi"/>
            <w:b w:val="0"/>
            <w:noProof/>
          </w:rPr>
          <w:tab/>
        </w:r>
        <w:r w:rsidRPr="00E02E5F">
          <w:rPr>
            <w:rStyle w:val="Hyperlink"/>
            <w:noProof/>
          </w:rPr>
          <w:t>For operation with shared spectrum channel access, support of a zero symbol gap (</w:t>
        </w:r>
        <w:r w:rsidRPr="00E02E5F">
          <w:rPr>
            <w:rStyle w:val="Hyperlink"/>
            <w:i/>
            <w:iCs/>
            <w:noProof/>
          </w:rPr>
          <w:t>N</w:t>
        </w:r>
        <w:r w:rsidRPr="00E02E5F">
          <w:rPr>
            <w:rStyle w:val="Hyperlink"/>
            <w:noProof/>
          </w:rPr>
          <w:t xml:space="preserve"> = 0) between the PRACH and PUSCH parts of MsgA can avoid an extra LBT operation for several different PRACH configurations.</w:t>
        </w:r>
      </w:hyperlink>
    </w:p>
    <w:p w14:paraId="1BB13669" w14:textId="7FB5C462" w:rsidR="00FC4517" w:rsidRDefault="00FC4517" w:rsidP="00FC4517">
      <w:pPr>
        <w:pStyle w:val="BodyText"/>
        <w:rPr>
          <w:b/>
          <w:bCs/>
        </w:rPr>
      </w:pPr>
      <w:r>
        <w:rPr>
          <w:b/>
          <w:bCs/>
        </w:rPr>
        <w:fldChar w:fldCharType="end"/>
      </w:r>
    </w:p>
    <w:p w14:paraId="2F339028" w14:textId="053C7154" w:rsidR="006E1C82" w:rsidRDefault="008E065E" w:rsidP="006E1C82">
      <w:pPr>
        <w:pStyle w:val="BodyText"/>
      </w:pPr>
      <w:r w:rsidRPr="00CE0424">
        <w:t xml:space="preserve">Based on the discussion in </w:t>
      </w:r>
      <w:r w:rsidR="00441003">
        <w:t>this paper</w:t>
      </w:r>
      <w:r w:rsidRPr="00CE0424">
        <w:t xml:space="preserve"> we propose the following:</w:t>
      </w:r>
    </w:p>
    <w:p w14:paraId="21ACA262" w14:textId="675BA7B7" w:rsidR="00290A61" w:rsidRDefault="006E1C82">
      <w:pPr>
        <w:pStyle w:val="TableofFigures"/>
        <w:tabs>
          <w:tab w:val="right" w:leader="dot" w:pos="9629"/>
        </w:tabs>
        <w:rPr>
          <w:rFonts w:asciiTheme="minorHAnsi" w:eastAsiaTheme="minorEastAsia" w:hAnsiTheme="minorHAnsi"/>
          <w:b w:val="0"/>
          <w:noProof/>
        </w:rPr>
      </w:pPr>
      <w:r w:rsidRPr="00B204DE">
        <w:rPr>
          <w:b w:val="0"/>
        </w:rPr>
        <w:fldChar w:fldCharType="begin"/>
      </w:r>
      <w:r>
        <w:rPr>
          <w:b w:val="0"/>
          <w:bCs/>
        </w:rPr>
        <w:instrText xml:space="preserve"> TOC \n \h \z \t "Proposal" \c </w:instrText>
      </w:r>
      <w:r w:rsidRPr="00290A61">
        <w:rPr>
          <w:b w:val="0"/>
        </w:rPr>
        <w:fldChar w:fldCharType="separate"/>
      </w:r>
      <w:hyperlink w:anchor="_Toc40463382" w:history="1">
        <w:r w:rsidR="00290A61" w:rsidRPr="001C21D7">
          <w:rPr>
            <w:rStyle w:val="Hyperlink"/>
            <w:noProof/>
          </w:rPr>
          <w:t>Proposal 1</w:t>
        </w:r>
        <w:r w:rsidR="00290A61">
          <w:rPr>
            <w:rFonts w:asciiTheme="minorHAnsi" w:eastAsiaTheme="minorEastAsia" w:hAnsiTheme="minorHAnsi"/>
            <w:b w:val="0"/>
            <w:noProof/>
          </w:rPr>
          <w:tab/>
        </w:r>
        <w:r w:rsidR="00290A61" w:rsidRPr="001C21D7">
          <w:rPr>
            <w:rStyle w:val="Hyperlink"/>
            <w:noProof/>
          </w:rPr>
          <w:t>If defined, N1/N2 should be fixed in the RAN4 specifications and not be a UE capability.</w:t>
        </w:r>
      </w:hyperlink>
    </w:p>
    <w:p w14:paraId="76DE4D42" w14:textId="617BB920" w:rsidR="00290A61" w:rsidRDefault="00290A61">
      <w:pPr>
        <w:pStyle w:val="TableofFigures"/>
        <w:tabs>
          <w:tab w:val="right" w:leader="dot" w:pos="9629"/>
        </w:tabs>
        <w:rPr>
          <w:rFonts w:asciiTheme="minorHAnsi" w:eastAsiaTheme="minorEastAsia" w:hAnsiTheme="minorHAnsi"/>
          <w:b w:val="0"/>
          <w:noProof/>
        </w:rPr>
      </w:pPr>
      <w:hyperlink w:anchor="_Toc40463383" w:history="1">
        <w:r w:rsidRPr="001C21D7">
          <w:rPr>
            <w:rStyle w:val="Hyperlink"/>
            <w:noProof/>
          </w:rPr>
          <w:t>Proposal 2</w:t>
        </w:r>
        <w:r>
          <w:rPr>
            <w:rFonts w:asciiTheme="minorHAnsi" w:eastAsiaTheme="minorEastAsia" w:hAnsiTheme="minorHAnsi"/>
            <w:b w:val="0"/>
            <w:noProof/>
          </w:rPr>
          <w:tab/>
        </w:r>
        <w:r w:rsidRPr="001C21D7">
          <w:rPr>
            <w:rStyle w:val="Hyperlink"/>
            <w:noProof/>
          </w:rPr>
          <w:t>For RLM/BFD/CBD it is mandatory for the UE to monitor all candidate SS/PBCH block positions in the discovery burst transmission window corresponding to the same SS/PBCH block index, i.e. N1 = 10/20 for 15/30 kHz SCS respectively. Inform RAN4 of this decision.</w:t>
        </w:r>
      </w:hyperlink>
    </w:p>
    <w:p w14:paraId="4946DE01" w14:textId="7B9BAC69" w:rsidR="00290A61" w:rsidRDefault="00290A61">
      <w:pPr>
        <w:pStyle w:val="TableofFigures"/>
        <w:tabs>
          <w:tab w:val="right" w:leader="dot" w:pos="9629"/>
        </w:tabs>
        <w:rPr>
          <w:rFonts w:asciiTheme="minorHAnsi" w:eastAsiaTheme="minorEastAsia" w:hAnsiTheme="minorHAnsi"/>
          <w:b w:val="0"/>
          <w:noProof/>
        </w:rPr>
      </w:pPr>
      <w:hyperlink w:anchor="_Toc40463384" w:history="1">
        <w:r w:rsidRPr="001C21D7">
          <w:rPr>
            <w:rStyle w:val="Hyperlink"/>
            <w:noProof/>
          </w:rPr>
          <w:t>Proposal 3</w:t>
        </w:r>
        <w:r>
          <w:rPr>
            <w:rFonts w:asciiTheme="minorHAnsi" w:eastAsiaTheme="minorEastAsia" w:hAnsiTheme="minorHAnsi"/>
            <w:b w:val="0"/>
            <w:noProof/>
          </w:rPr>
          <w:tab/>
        </w:r>
        <w:r w:rsidRPr="001C21D7">
          <w:rPr>
            <w:rStyle w:val="Hyperlink"/>
            <w:noProof/>
          </w:rPr>
          <w:t>For intra and inter-frequency measurements (in IDLE and CONNECTED mode) it is mandatory for the UE to monitor at least N2 = 5/10 (for 15/30 kHz SCS respectively) candidate SS/PBCH block positions corresponding to the same SS/PBCH block index in the SMTC window. Inform RAN4 of this decision.</w:t>
        </w:r>
      </w:hyperlink>
    </w:p>
    <w:p w14:paraId="3EBF9E1C" w14:textId="07DC3DC1" w:rsidR="00290A61" w:rsidRDefault="00290A61">
      <w:pPr>
        <w:pStyle w:val="TableofFigures"/>
        <w:tabs>
          <w:tab w:val="right" w:leader="dot" w:pos="9629"/>
        </w:tabs>
        <w:rPr>
          <w:rFonts w:asciiTheme="minorHAnsi" w:eastAsiaTheme="minorEastAsia" w:hAnsiTheme="minorHAnsi"/>
          <w:b w:val="0"/>
          <w:noProof/>
        </w:rPr>
      </w:pPr>
      <w:hyperlink w:anchor="_Toc40463385" w:history="1">
        <w:r w:rsidRPr="001C21D7">
          <w:rPr>
            <w:rStyle w:val="Hyperlink"/>
            <w:noProof/>
          </w:rPr>
          <w:t>Proposal 4</w:t>
        </w:r>
        <w:r>
          <w:rPr>
            <w:rFonts w:asciiTheme="minorHAnsi" w:eastAsiaTheme="minorEastAsia" w:hAnsiTheme="minorHAnsi"/>
            <w:b w:val="0"/>
            <w:noProof/>
          </w:rPr>
          <w:tab/>
        </w:r>
        <w:r w:rsidRPr="001C21D7">
          <w:rPr>
            <w:rStyle w:val="Hyperlink"/>
            <w:noProof/>
          </w:rPr>
          <w:t>The values of N1/N2 should be the same for LBE and FBE. Inform RAN4 of this decision.</w:t>
        </w:r>
      </w:hyperlink>
    </w:p>
    <w:p w14:paraId="58217887" w14:textId="702CEAE0" w:rsidR="00290A61" w:rsidRDefault="00290A61">
      <w:pPr>
        <w:pStyle w:val="TableofFigures"/>
        <w:tabs>
          <w:tab w:val="right" w:leader="dot" w:pos="9629"/>
        </w:tabs>
        <w:rPr>
          <w:rFonts w:asciiTheme="minorHAnsi" w:eastAsiaTheme="minorEastAsia" w:hAnsiTheme="minorHAnsi"/>
          <w:b w:val="0"/>
          <w:noProof/>
        </w:rPr>
      </w:pPr>
      <w:hyperlink w:anchor="_Toc40463386" w:history="1">
        <w:r w:rsidRPr="001C21D7">
          <w:rPr>
            <w:rStyle w:val="Hyperlink"/>
            <w:noProof/>
            <w:lang w:val="en-GB" w:eastAsia="ja-JP"/>
          </w:rPr>
          <w:t>Proposal 5</w:t>
        </w:r>
        <w:r>
          <w:rPr>
            <w:rFonts w:asciiTheme="minorHAnsi" w:eastAsiaTheme="minorEastAsia" w:hAnsiTheme="minorHAnsi"/>
            <w:b w:val="0"/>
            <w:noProof/>
          </w:rPr>
          <w:tab/>
        </w:r>
        <w:r w:rsidRPr="001C21D7">
          <w:rPr>
            <w:rStyle w:val="Hyperlink"/>
            <w:noProof/>
            <w:lang w:val="en-GB" w:eastAsia="ja-JP"/>
          </w:rPr>
          <w:t>Respond to RAN4 that the UE shall declare beam failure in case of LBT failures when configured with RRC-based active TCI state switching.</w:t>
        </w:r>
      </w:hyperlink>
    </w:p>
    <w:p w14:paraId="1719C383" w14:textId="368B073C" w:rsidR="00290A61" w:rsidRDefault="00290A61">
      <w:pPr>
        <w:pStyle w:val="TableofFigures"/>
        <w:tabs>
          <w:tab w:val="right" w:leader="dot" w:pos="9629"/>
        </w:tabs>
        <w:rPr>
          <w:rFonts w:asciiTheme="minorHAnsi" w:eastAsiaTheme="minorEastAsia" w:hAnsiTheme="minorHAnsi"/>
          <w:b w:val="0"/>
          <w:noProof/>
        </w:rPr>
      </w:pPr>
      <w:hyperlink w:anchor="_Toc40463387" w:history="1">
        <w:r w:rsidRPr="001C21D7">
          <w:rPr>
            <w:rStyle w:val="Hyperlink"/>
            <w:noProof/>
            <w:lang w:val="en-GB" w:eastAsia="ja-JP"/>
          </w:rPr>
          <w:t>Proposal 6</w:t>
        </w:r>
        <w:r>
          <w:rPr>
            <w:rFonts w:asciiTheme="minorHAnsi" w:eastAsiaTheme="minorEastAsia" w:hAnsiTheme="minorHAnsi"/>
            <w:b w:val="0"/>
            <w:noProof/>
          </w:rPr>
          <w:tab/>
        </w:r>
        <w:r w:rsidRPr="001C21D7">
          <w:rPr>
            <w:rStyle w:val="Hyperlink"/>
            <w:noProof/>
            <w:lang w:val="en-GB" w:eastAsia="ja-JP"/>
          </w:rPr>
          <w:t>Respond to RAN4 that the UE can assume that the same transmit power is used across different occasions, for both CSI-RS and SSB-based RRM measurements.</w:t>
        </w:r>
      </w:hyperlink>
    </w:p>
    <w:p w14:paraId="526E44B7" w14:textId="5FAE0042" w:rsidR="00290A61" w:rsidRDefault="00290A61">
      <w:pPr>
        <w:pStyle w:val="TableofFigures"/>
        <w:tabs>
          <w:tab w:val="right" w:leader="dot" w:pos="9629"/>
        </w:tabs>
        <w:rPr>
          <w:rFonts w:asciiTheme="minorHAnsi" w:eastAsiaTheme="minorEastAsia" w:hAnsiTheme="minorHAnsi"/>
          <w:b w:val="0"/>
          <w:noProof/>
        </w:rPr>
      </w:pPr>
      <w:hyperlink w:anchor="_Toc40463388" w:history="1">
        <w:r w:rsidRPr="001C21D7">
          <w:rPr>
            <w:rStyle w:val="Hyperlink"/>
            <w:noProof/>
          </w:rPr>
          <w:t>Proposal 7</w:t>
        </w:r>
        <w:r>
          <w:rPr>
            <w:rFonts w:asciiTheme="minorHAnsi" w:eastAsiaTheme="minorEastAsia" w:hAnsiTheme="minorHAnsi"/>
            <w:b w:val="0"/>
            <w:noProof/>
          </w:rPr>
          <w:tab/>
        </w:r>
        <w:r w:rsidRPr="001C21D7">
          <w:rPr>
            <w:rStyle w:val="Hyperlink"/>
            <w:noProof/>
          </w:rPr>
          <w:t>Regarding definition of RSSI measurement duration, we prefer Alt-2.</w:t>
        </w:r>
      </w:hyperlink>
    </w:p>
    <w:p w14:paraId="6B4F0F4C" w14:textId="68BEA539" w:rsidR="00290A61" w:rsidRDefault="00290A61">
      <w:pPr>
        <w:pStyle w:val="TableofFigures"/>
        <w:tabs>
          <w:tab w:val="right" w:leader="dot" w:pos="9629"/>
        </w:tabs>
        <w:rPr>
          <w:rFonts w:asciiTheme="minorHAnsi" w:eastAsiaTheme="minorEastAsia" w:hAnsiTheme="minorHAnsi"/>
          <w:b w:val="0"/>
          <w:noProof/>
        </w:rPr>
      </w:pPr>
      <w:hyperlink w:anchor="_Toc40463389" w:history="1">
        <w:r w:rsidRPr="001C21D7">
          <w:rPr>
            <w:rStyle w:val="Hyperlink"/>
            <w:noProof/>
          </w:rPr>
          <w:t>Proposal 8</w:t>
        </w:r>
        <w:r>
          <w:rPr>
            <w:rFonts w:asciiTheme="minorHAnsi" w:eastAsiaTheme="minorEastAsia" w:hAnsiTheme="minorHAnsi"/>
            <w:b w:val="0"/>
            <w:noProof/>
          </w:rPr>
          <w:tab/>
        </w:r>
        <w:r w:rsidRPr="001C21D7">
          <w:rPr>
            <w:rStyle w:val="Hyperlink"/>
            <w:noProof/>
          </w:rPr>
          <w:t>Further discuss TP-1 Alt-1 in R1-2002996 to define under what conditions the SFI LSB bits are not applicable.</w:t>
        </w:r>
      </w:hyperlink>
    </w:p>
    <w:p w14:paraId="530AC940" w14:textId="3C39143E" w:rsidR="00290A61" w:rsidRDefault="00290A61">
      <w:pPr>
        <w:pStyle w:val="TableofFigures"/>
        <w:tabs>
          <w:tab w:val="right" w:leader="dot" w:pos="9629"/>
        </w:tabs>
        <w:rPr>
          <w:rFonts w:asciiTheme="minorHAnsi" w:eastAsiaTheme="minorEastAsia" w:hAnsiTheme="minorHAnsi"/>
          <w:b w:val="0"/>
          <w:noProof/>
        </w:rPr>
      </w:pPr>
      <w:hyperlink w:anchor="_Toc40463390" w:history="1">
        <w:r w:rsidRPr="001C21D7">
          <w:rPr>
            <w:rStyle w:val="Hyperlink"/>
            <w:noProof/>
          </w:rPr>
          <w:t>Proposal 9</w:t>
        </w:r>
        <w:r>
          <w:rPr>
            <w:rFonts w:asciiTheme="minorHAnsi" w:eastAsiaTheme="minorEastAsia" w:hAnsiTheme="minorHAnsi"/>
            <w:b w:val="0"/>
            <w:noProof/>
          </w:rPr>
          <w:tab/>
        </w:r>
        <w:r w:rsidRPr="001C21D7">
          <w:rPr>
            <w:rStyle w:val="Hyperlink"/>
            <w:noProof/>
          </w:rPr>
          <w:t>For 2-step RACH for operation with shared spectrum channel access, support a zero symbol gap (</w:t>
        </w:r>
        <w:r w:rsidRPr="001C21D7">
          <w:rPr>
            <w:rStyle w:val="Hyperlink"/>
            <w:i/>
            <w:iCs/>
            <w:noProof/>
          </w:rPr>
          <w:t>N</w:t>
        </w:r>
        <w:r w:rsidRPr="001C21D7">
          <w:rPr>
            <w:rStyle w:val="Hyperlink"/>
            <w:noProof/>
          </w:rPr>
          <w:t xml:space="preserve"> = 0) between the PRACH and PUSCH parts of MsgA.</w:t>
        </w:r>
      </w:hyperlink>
    </w:p>
    <w:p w14:paraId="4AD2F895" w14:textId="6A92ED75" w:rsidR="006E1C82" w:rsidRPr="00CE0424" w:rsidRDefault="006E1C82" w:rsidP="006E1C82">
      <w:pPr>
        <w:pStyle w:val="BodyText"/>
        <w:rPr>
          <w:b/>
          <w:bCs/>
        </w:rPr>
      </w:pPr>
      <w:r w:rsidRPr="00B204DE">
        <w:rPr>
          <w:b/>
        </w:rPr>
        <w:fldChar w:fldCharType="end"/>
      </w:r>
    </w:p>
    <w:p w14:paraId="0C652C29" w14:textId="77777777" w:rsidR="00F507D1" w:rsidRPr="00290A61" w:rsidRDefault="00F507D1" w:rsidP="00CE0424">
      <w:pPr>
        <w:pStyle w:val="Heading1"/>
        <w:rPr>
          <w:lang w:val="en-US"/>
        </w:rPr>
      </w:pPr>
      <w:bookmarkStart w:id="41" w:name="_In-sequence_SDU_delivery"/>
      <w:bookmarkEnd w:id="41"/>
      <w:r w:rsidRPr="00290A61">
        <w:rPr>
          <w:lang w:val="en-US"/>
        </w:rPr>
        <w:t>References</w:t>
      </w:r>
    </w:p>
    <w:p w14:paraId="35C5469B" w14:textId="2E2AD90F" w:rsidR="006024A6" w:rsidRDefault="006024A6" w:rsidP="00311702">
      <w:pPr>
        <w:pStyle w:val="Reference"/>
      </w:pPr>
      <w:bookmarkStart w:id="42" w:name="_Ref31119230"/>
      <w:bookmarkStart w:id="43" w:name="_Ref174151459"/>
      <w:bookmarkStart w:id="44" w:name="_Ref189809556"/>
      <w:r>
        <w:t>3GPP TS 38.213 v16.</w:t>
      </w:r>
      <w:r w:rsidR="00AC0FE5">
        <w:t>1</w:t>
      </w:r>
      <w:r>
        <w:t>.0, “</w:t>
      </w:r>
      <w:r w:rsidRPr="006D3E5B">
        <w:t>Physical layer procedures for control</w:t>
      </w:r>
      <w:r>
        <w:t xml:space="preserve">,” </w:t>
      </w:r>
      <w:r w:rsidR="00AC0FE5">
        <w:t>March 2020</w:t>
      </w:r>
      <w:r>
        <w:t>.</w:t>
      </w:r>
      <w:bookmarkEnd w:id="42"/>
    </w:p>
    <w:p w14:paraId="60ACDA71" w14:textId="7D3CFDCF" w:rsidR="00BF4347" w:rsidRPr="00CE0424" w:rsidRDefault="00BF4347" w:rsidP="00311702">
      <w:pPr>
        <w:pStyle w:val="Reference"/>
      </w:pPr>
      <w:bookmarkStart w:id="45" w:name="_Ref31976224"/>
      <w:r>
        <w:t>R2-1914064, “LS on SFN LSB indication in msg2/</w:t>
      </w:r>
      <w:proofErr w:type="spellStart"/>
      <w:r>
        <w:t>msgB</w:t>
      </w:r>
      <w:proofErr w:type="spellEnd"/>
      <w:r>
        <w:t>, RAN2#107b, October 2019.</w:t>
      </w:r>
      <w:bookmarkEnd w:id="45"/>
    </w:p>
    <w:p w14:paraId="27E1DDC5" w14:textId="7A4BE48C" w:rsidR="001B5B01" w:rsidRDefault="001B5B01" w:rsidP="00FB2049">
      <w:pPr>
        <w:pStyle w:val="Reference"/>
      </w:pPr>
      <w:bookmarkStart w:id="46" w:name="_Ref32240560"/>
      <w:r>
        <w:t>R1-1913582, “</w:t>
      </w:r>
      <w:r w:rsidRPr="001B5B01">
        <w:t>Response LS to RAN2 LS on SFN LSB indication in msg2/</w:t>
      </w:r>
      <w:proofErr w:type="spellStart"/>
      <w:r w:rsidRPr="001B5B01">
        <w:t>msgB</w:t>
      </w:r>
      <w:proofErr w:type="spellEnd"/>
      <w:r>
        <w:t>,” RAN1 #99, November 2019.</w:t>
      </w:r>
      <w:bookmarkEnd w:id="46"/>
    </w:p>
    <w:p w14:paraId="6EE5377A" w14:textId="6BFF944B" w:rsidR="006032D0" w:rsidRDefault="006032D0" w:rsidP="00FB2049">
      <w:pPr>
        <w:pStyle w:val="Reference"/>
      </w:pPr>
      <w:bookmarkStart w:id="47" w:name="_Ref37397533"/>
      <w:r>
        <w:t>R1-2002369, “</w:t>
      </w:r>
      <w:r w:rsidRPr="006032D0">
        <w:t>Channel Structure Related Corrections For 2-Step RACH</w:t>
      </w:r>
      <w:r>
        <w:t>,” Ericsson, RAN1#100bis-e, April 2020.</w:t>
      </w:r>
      <w:bookmarkEnd w:id="47"/>
    </w:p>
    <w:p w14:paraId="5FC88C1B" w14:textId="749FCE63" w:rsidR="004F7295" w:rsidRPr="00083496" w:rsidRDefault="004F7295" w:rsidP="00FB2049">
      <w:pPr>
        <w:pStyle w:val="Reference"/>
        <w:rPr>
          <w:lang w:eastAsia="zh-CN"/>
        </w:rPr>
      </w:pPr>
      <w:bookmarkStart w:id="48" w:name="_Ref40344001"/>
      <w:r w:rsidRPr="00290A61">
        <w:rPr>
          <w:lang w:eastAsia="zh-CN"/>
        </w:rPr>
        <w:t>R1-2003274, “</w:t>
      </w:r>
      <w:r w:rsidRPr="00290A61">
        <w:rPr>
          <w:rFonts w:cs="Arial"/>
        </w:rPr>
        <w:t>LS on NR-U SSB monitoring capabilities”, RAN1#101-e, May 2020</w:t>
      </w:r>
      <w:bookmarkEnd w:id="48"/>
    </w:p>
    <w:p w14:paraId="66E26917" w14:textId="27DF120D" w:rsidR="00BB43F6" w:rsidRPr="0014516C" w:rsidRDefault="00BB43F6" w:rsidP="00FB2049">
      <w:pPr>
        <w:pStyle w:val="Reference"/>
        <w:rPr>
          <w:lang w:eastAsia="zh-CN"/>
        </w:rPr>
      </w:pPr>
      <w:bookmarkStart w:id="49" w:name="_Ref40187488"/>
      <w:r w:rsidRPr="00BB43F6">
        <w:rPr>
          <w:lang w:eastAsia="zh-CN"/>
        </w:rPr>
        <w:t>R1-2003272</w:t>
      </w:r>
      <w:r>
        <w:rPr>
          <w:lang w:eastAsia="zh-CN"/>
        </w:rPr>
        <w:t>, “</w:t>
      </w:r>
      <w:r w:rsidRPr="00BB43F6">
        <w:rPr>
          <w:lang w:eastAsia="zh-CN"/>
        </w:rPr>
        <w:t>[LS] timing reference cell adjustment under NR-U</w:t>
      </w:r>
      <w:r>
        <w:rPr>
          <w:lang w:eastAsia="zh-CN"/>
        </w:rPr>
        <w:t xml:space="preserve">”, </w:t>
      </w:r>
      <w:r w:rsidRPr="00167D23">
        <w:rPr>
          <w:rFonts w:cs="Arial"/>
        </w:rPr>
        <w:t>RAN1#101-e, May 2020</w:t>
      </w:r>
      <w:bookmarkEnd w:id="49"/>
      <w:r w:rsidR="0014516C">
        <w:rPr>
          <w:rFonts w:cs="Arial"/>
        </w:rPr>
        <w:t>.</w:t>
      </w:r>
    </w:p>
    <w:p w14:paraId="33C433A5" w14:textId="47BE5CFB" w:rsidR="0014516C" w:rsidRDefault="0014516C" w:rsidP="00FB2049">
      <w:pPr>
        <w:pStyle w:val="Reference"/>
        <w:rPr>
          <w:lang w:eastAsia="zh-CN"/>
        </w:rPr>
      </w:pPr>
      <w:bookmarkStart w:id="50" w:name="_Ref40253215"/>
      <w:r>
        <w:rPr>
          <w:lang w:eastAsia="zh-CN"/>
        </w:rPr>
        <w:t>R1-2003273, “[LS] on transmit power of CSI-RS across different occasions”, RAN1#101-e, May 2020.</w:t>
      </w:r>
      <w:bookmarkEnd w:id="50"/>
    </w:p>
    <w:p w14:paraId="6D01E5DE" w14:textId="53A1C5EF" w:rsidR="002723D1" w:rsidRDefault="002723D1" w:rsidP="00FB2049">
      <w:pPr>
        <w:pStyle w:val="Reference"/>
        <w:rPr>
          <w:lang w:eastAsia="zh-CN"/>
        </w:rPr>
      </w:pPr>
      <w:bookmarkStart w:id="51" w:name="_Ref40337351"/>
      <w:r w:rsidRPr="002723D1">
        <w:rPr>
          <w:lang w:eastAsia="zh-CN"/>
        </w:rPr>
        <w:t>3GPP TS 38.214 v16.1.0, “NR; Ph</w:t>
      </w:r>
      <w:r w:rsidRPr="00290A61">
        <w:rPr>
          <w:lang w:eastAsia="zh-CN"/>
        </w:rPr>
        <w:t>ys</w:t>
      </w:r>
      <w:r>
        <w:rPr>
          <w:lang w:eastAsia="zh-CN"/>
        </w:rPr>
        <w:t>ical layer procedures for data”, March 2020.</w:t>
      </w:r>
      <w:bookmarkEnd w:id="51"/>
      <w:r>
        <w:rPr>
          <w:lang w:eastAsia="zh-CN"/>
        </w:rPr>
        <w:t xml:space="preserve"> </w:t>
      </w:r>
    </w:p>
    <w:p w14:paraId="003333F3" w14:textId="1F5E17DD" w:rsidR="002723D1" w:rsidRDefault="002723D1" w:rsidP="00FB2049">
      <w:pPr>
        <w:pStyle w:val="Reference"/>
        <w:rPr>
          <w:lang w:eastAsia="zh-CN"/>
        </w:rPr>
      </w:pPr>
      <w:bookmarkStart w:id="52" w:name="_Ref40257691"/>
      <w:r>
        <w:rPr>
          <w:lang w:eastAsia="zh-CN"/>
        </w:rPr>
        <w:t>R1-2003271, “[LS] on UE declaring beam failure due to LBT failures during active TCI switching”, RAN1#101-e, May 2020.</w:t>
      </w:r>
      <w:bookmarkEnd w:id="52"/>
    </w:p>
    <w:p w14:paraId="77C64196" w14:textId="3EC0B71D" w:rsidR="004A4B83" w:rsidRPr="002723D1" w:rsidRDefault="004A4B83" w:rsidP="00FB2049">
      <w:pPr>
        <w:pStyle w:val="Reference"/>
        <w:rPr>
          <w:lang w:eastAsia="zh-CN"/>
        </w:rPr>
      </w:pPr>
      <w:bookmarkStart w:id="53" w:name="_Ref40294336"/>
      <w:r>
        <w:rPr>
          <w:lang w:eastAsia="zh-CN"/>
        </w:rPr>
        <w:t>R1-2002996, “</w:t>
      </w:r>
      <w:r w:rsidRPr="004A4B83">
        <w:rPr>
          <w:lang w:eastAsia="zh-CN"/>
        </w:rPr>
        <w:t>Summary of email discussion on LSB of SFN validation</w:t>
      </w:r>
      <w:r>
        <w:rPr>
          <w:lang w:eastAsia="zh-CN"/>
        </w:rPr>
        <w:t>,” Qualcomm, RAN1#100b-e, April 2020.</w:t>
      </w:r>
      <w:bookmarkEnd w:id="53"/>
    </w:p>
    <w:p w14:paraId="075873A3" w14:textId="715AF486" w:rsidR="000C61A4" w:rsidRPr="002723D1" w:rsidRDefault="000C61A4" w:rsidP="000C61A4">
      <w:pPr>
        <w:pStyle w:val="Reference"/>
        <w:numPr>
          <w:ilvl w:val="0"/>
          <w:numId w:val="0"/>
        </w:numPr>
        <w:ind w:left="567" w:hanging="567"/>
      </w:pPr>
    </w:p>
    <w:p w14:paraId="49639F42" w14:textId="0396BA15" w:rsidR="000C61A4" w:rsidRPr="002723D1" w:rsidRDefault="000C61A4" w:rsidP="000C61A4">
      <w:pPr>
        <w:pStyle w:val="Reference"/>
        <w:numPr>
          <w:ilvl w:val="0"/>
          <w:numId w:val="0"/>
        </w:numPr>
        <w:ind w:left="567" w:hanging="567"/>
      </w:pPr>
    </w:p>
    <w:p w14:paraId="486D779E" w14:textId="3F1C0D8E" w:rsidR="000C61A4" w:rsidRPr="00290A61" w:rsidRDefault="000C61A4" w:rsidP="000C61A4">
      <w:pPr>
        <w:pStyle w:val="Heading1"/>
        <w:rPr>
          <w:lang w:val="en-US"/>
        </w:rPr>
      </w:pPr>
      <w:r w:rsidRPr="00290A61">
        <w:rPr>
          <w:lang w:val="en-US"/>
        </w:rPr>
        <w:t>Appendix</w:t>
      </w:r>
    </w:p>
    <w:p w14:paraId="1FC19A02" w14:textId="02D89052" w:rsidR="008C04A7" w:rsidRPr="00290A61" w:rsidRDefault="008C04A7" w:rsidP="004C0921">
      <w:pPr>
        <w:pStyle w:val="Heading2"/>
        <w:rPr>
          <w:lang w:val="en-US"/>
        </w:rPr>
      </w:pPr>
      <w:bookmarkStart w:id="54" w:name="_Ref37257198"/>
      <w:r w:rsidRPr="00290A61">
        <w:rPr>
          <w:lang w:val="en-US"/>
        </w:rPr>
        <w:t>A.1</w:t>
      </w:r>
      <w:r w:rsidRPr="00290A61">
        <w:rPr>
          <w:lang w:val="en-US"/>
        </w:rPr>
        <w:tab/>
        <w:t>Correction of association between SS/PBCH blocks and PRACH occasions</w:t>
      </w:r>
    </w:p>
    <w:p w14:paraId="613DF14D" w14:textId="77777777" w:rsidR="008C04A7" w:rsidRDefault="008C04A7" w:rsidP="008C04A7">
      <w:pPr>
        <w:pStyle w:val="BodyText"/>
      </w:pPr>
      <w:r w:rsidRPr="00BF0C27">
        <w:rPr>
          <w:highlight w:val="yellow"/>
        </w:rPr>
        <w:t>&gt;&gt;&gt; Text Proposal for 38.</w:t>
      </w:r>
      <w:r>
        <w:rPr>
          <w:highlight w:val="yellow"/>
        </w:rPr>
        <w:t>213</w:t>
      </w:r>
      <w:r w:rsidRPr="00BF0C27">
        <w:rPr>
          <w:highlight w:val="yellow"/>
        </w:rPr>
        <w:t xml:space="preserve">, Section </w:t>
      </w:r>
      <w:r>
        <w:rPr>
          <w:highlight w:val="yellow"/>
        </w:rPr>
        <w:t>8.1</w:t>
      </w:r>
      <w:r w:rsidRPr="00BF0C27">
        <w:rPr>
          <w:highlight w:val="yellow"/>
        </w:rPr>
        <w:t>&gt;&gt;&gt;</w:t>
      </w:r>
    </w:p>
    <w:p w14:paraId="205F081E" w14:textId="77777777" w:rsidR="008C04A7" w:rsidRDefault="008C04A7" w:rsidP="008C04A7">
      <w:pPr>
        <w:pStyle w:val="BodyText"/>
        <w:jc w:val="center"/>
      </w:pPr>
      <w:r>
        <w:t>*** Unchanged text omitted ***</w:t>
      </w:r>
    </w:p>
    <w:p w14:paraId="78C72503" w14:textId="77777777" w:rsidR="008C04A7" w:rsidRPr="009C5BFC" w:rsidRDefault="008C04A7" w:rsidP="008C04A7">
      <w:pPr>
        <w:rPr>
          <w:rFonts w:ascii="Times New Roman" w:eastAsia="Times New Roman" w:hAnsi="Times New Roman" w:cs="Times New Roman"/>
          <w:sz w:val="20"/>
          <w:szCs w:val="20"/>
        </w:rPr>
      </w:pPr>
      <w:r w:rsidRPr="009C5BFC">
        <w:rPr>
          <w:rFonts w:ascii="Times New Roman" w:hAnsi="Times New Roman" w:cs="Times New Roman"/>
          <w:sz w:val="20"/>
          <w:szCs w:val="20"/>
        </w:rPr>
        <w:t xml:space="preserve">Physical </w:t>
      </w:r>
      <w:proofErr w:type="gramStart"/>
      <w:r w:rsidRPr="009C5BFC">
        <w:rPr>
          <w:rFonts w:ascii="Times New Roman" w:hAnsi="Times New Roman" w:cs="Times New Roman"/>
          <w:sz w:val="20"/>
          <w:szCs w:val="20"/>
        </w:rPr>
        <w:t>random access</w:t>
      </w:r>
      <w:proofErr w:type="gramEnd"/>
      <w:r w:rsidRPr="009C5BFC">
        <w:rPr>
          <w:rFonts w:ascii="Times New Roman" w:hAnsi="Times New Roman" w:cs="Times New Roman"/>
          <w:sz w:val="20"/>
          <w:szCs w:val="20"/>
        </w:rPr>
        <w:t xml:space="preserve"> procedure is triggered upon request of a PRACH transmission by higher layers or by a PDCCH order. A configuration by higher layers for a PRACH transmission includes the following: </w:t>
      </w:r>
    </w:p>
    <w:p w14:paraId="0AE3D430" w14:textId="77777777" w:rsidR="008C04A7" w:rsidRPr="00290A61" w:rsidRDefault="008C04A7" w:rsidP="008C04A7">
      <w:pPr>
        <w:pStyle w:val="B1"/>
        <w:rPr>
          <w:rFonts w:cs="Times New Roman"/>
          <w:sz w:val="20"/>
          <w:szCs w:val="20"/>
        </w:rPr>
      </w:pPr>
      <w:r w:rsidRPr="009C5BFC">
        <w:rPr>
          <w:rFonts w:cs="Times New Roman"/>
          <w:sz w:val="20"/>
          <w:szCs w:val="20"/>
        </w:rPr>
        <w:t>-</w:t>
      </w:r>
      <w:r w:rsidRPr="009C5BFC">
        <w:rPr>
          <w:rFonts w:cs="Times New Roman"/>
          <w:sz w:val="20"/>
          <w:szCs w:val="20"/>
        </w:rPr>
        <w:tab/>
        <w:t xml:space="preserve">A configuration for PRACH transmission [4, TS 38.211]. </w:t>
      </w:r>
    </w:p>
    <w:p w14:paraId="614FDEB9" w14:textId="77777777" w:rsidR="008C04A7" w:rsidRPr="009C5BFC" w:rsidRDefault="008C04A7" w:rsidP="008C04A7">
      <w:pPr>
        <w:pStyle w:val="B1"/>
        <w:rPr>
          <w:rFonts w:cs="Times New Roman"/>
          <w:sz w:val="20"/>
          <w:szCs w:val="20"/>
        </w:rPr>
      </w:pPr>
      <w:r w:rsidRPr="009C5BFC">
        <w:rPr>
          <w:rFonts w:cs="Times New Roman"/>
          <w:sz w:val="20"/>
          <w:szCs w:val="20"/>
        </w:rPr>
        <w:t>-</w:t>
      </w:r>
      <w:r w:rsidRPr="009C5BFC">
        <w:rPr>
          <w:rFonts w:cs="Times New Roman"/>
          <w:sz w:val="20"/>
          <w:szCs w:val="20"/>
        </w:rPr>
        <w:tab/>
        <w:t xml:space="preserve">A preamble index, a preamble SCS, </w:t>
      </w:r>
      <w:r w:rsidRPr="0053281E">
        <w:rPr>
          <w:rFonts w:cs="Times New Roman"/>
          <w:noProof/>
          <w:position w:val="-12"/>
          <w:sz w:val="20"/>
          <w:szCs w:val="20"/>
        </w:rPr>
        <w:drawing>
          <wp:inline distT="0" distB="0" distL="0" distR="0" wp14:anchorId="26C2392E" wp14:editId="04185762">
            <wp:extent cx="640080" cy="220980"/>
            <wp:effectExtent l="0" t="0" r="7620" b="762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080" cy="220980"/>
                    </a:xfrm>
                    <a:prstGeom prst="rect">
                      <a:avLst/>
                    </a:prstGeom>
                    <a:noFill/>
                    <a:ln>
                      <a:noFill/>
                    </a:ln>
                  </pic:spPr>
                </pic:pic>
              </a:graphicData>
            </a:graphic>
          </wp:inline>
        </w:drawing>
      </w:r>
      <w:r w:rsidRPr="009C5BFC">
        <w:rPr>
          <w:rFonts w:cs="Times New Roman"/>
          <w:sz w:val="20"/>
          <w:szCs w:val="20"/>
        </w:rPr>
        <w:t xml:space="preserve">, a corresponding RA-RNTI, and a PRACH resource. </w:t>
      </w:r>
    </w:p>
    <w:p w14:paraId="50203C44" w14:textId="77777777" w:rsidR="008C04A7" w:rsidRPr="009C5BFC" w:rsidRDefault="008C04A7" w:rsidP="008C04A7">
      <w:pPr>
        <w:rPr>
          <w:rFonts w:ascii="Times New Roman" w:hAnsi="Times New Roman" w:cs="Times New Roman"/>
          <w:sz w:val="20"/>
          <w:szCs w:val="20"/>
        </w:rPr>
      </w:pPr>
      <w:r w:rsidRPr="009C5BFC">
        <w:rPr>
          <w:rFonts w:ascii="Times New Roman" w:hAnsi="Times New Roman" w:cs="Times New Roman"/>
          <w:sz w:val="20"/>
          <w:szCs w:val="20"/>
        </w:rPr>
        <w:t xml:space="preserve">A PRACH is transmitted using the selected PRACH format with transmission power </w:t>
      </w:r>
      <w:r w:rsidRPr="0053281E">
        <w:rPr>
          <w:rFonts w:ascii="Times New Roman" w:hAnsi="Times New Roman" w:cs="Times New Roman"/>
          <w:noProof/>
          <w:position w:val="-12"/>
          <w:sz w:val="20"/>
          <w:szCs w:val="20"/>
        </w:rPr>
        <w:drawing>
          <wp:inline distT="0" distB="0" distL="0" distR="0" wp14:anchorId="34DCEA86" wp14:editId="1A1DD8B2">
            <wp:extent cx="731520" cy="21336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1520" cy="213360"/>
                    </a:xfrm>
                    <a:prstGeom prst="rect">
                      <a:avLst/>
                    </a:prstGeom>
                    <a:noFill/>
                    <a:ln>
                      <a:noFill/>
                    </a:ln>
                  </pic:spPr>
                </pic:pic>
              </a:graphicData>
            </a:graphic>
          </wp:inline>
        </w:drawing>
      </w:r>
      <w:r w:rsidRPr="009C5BFC">
        <w:rPr>
          <w:rFonts w:ascii="Times New Roman" w:hAnsi="Times New Roman" w:cs="Times New Roman"/>
          <w:sz w:val="20"/>
          <w:szCs w:val="20"/>
        </w:rPr>
        <w:t>,</w:t>
      </w:r>
      <w:r w:rsidRPr="009C5BFC">
        <w:rPr>
          <w:rFonts w:ascii="Times New Roman" w:hAnsi="Times New Roman" w:cs="Times New Roman"/>
          <w:sz w:val="20"/>
          <w:szCs w:val="20"/>
          <w:vertAlign w:val="subscript"/>
        </w:rPr>
        <w:t xml:space="preserve"> </w:t>
      </w:r>
      <w:r w:rsidRPr="009C5BFC">
        <w:rPr>
          <w:rFonts w:ascii="Times New Roman" w:hAnsi="Times New Roman" w:cs="Times New Roman"/>
          <w:sz w:val="20"/>
          <w:szCs w:val="20"/>
        </w:rPr>
        <w:t>as described in Clause 7.4, on the indicated PRACH resource.</w:t>
      </w:r>
    </w:p>
    <w:p w14:paraId="7FB4ED77" w14:textId="77777777" w:rsidR="008C04A7" w:rsidRPr="00290A61" w:rsidRDefault="008C04A7" w:rsidP="008C04A7">
      <w:pPr>
        <w:spacing w:after="240"/>
        <w:rPr>
          <w:rFonts w:ascii="Times New Roman" w:hAnsi="Times New Roman" w:cs="Times New Roman"/>
          <w:sz w:val="20"/>
          <w:szCs w:val="20"/>
        </w:rPr>
      </w:pPr>
      <w:r w:rsidRPr="009C5BFC">
        <w:rPr>
          <w:rFonts w:ascii="Times New Roman" w:hAnsi="Times New Roman" w:cs="Times New Roman"/>
          <w:sz w:val="20"/>
          <w:szCs w:val="20"/>
        </w:rPr>
        <w:t xml:space="preserve">For Type-1 random access procedure, a UE is provided a number </w:t>
      </w:r>
      <w:r w:rsidRPr="0053281E">
        <w:rPr>
          <w:rFonts w:ascii="Times New Roman" w:hAnsi="Times New Roman" w:cs="Times New Roman"/>
          <w:noProof/>
          <w:position w:val="-6"/>
          <w:sz w:val="20"/>
          <w:szCs w:val="20"/>
        </w:rPr>
        <w:drawing>
          <wp:inline distT="0" distB="0" distL="0" distR="0" wp14:anchorId="060ED91E" wp14:editId="02AC0D13">
            <wp:extent cx="182880" cy="160020"/>
            <wp:effectExtent l="0" t="0" r="762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60020"/>
                    </a:xfrm>
                    <a:prstGeom prst="rect">
                      <a:avLst/>
                    </a:prstGeom>
                    <a:noFill/>
                    <a:ln>
                      <a:noFill/>
                    </a:ln>
                  </pic:spPr>
                </pic:pic>
              </a:graphicData>
            </a:graphic>
          </wp:inline>
        </w:drawing>
      </w:r>
      <w:r w:rsidRPr="009C5BFC">
        <w:rPr>
          <w:rFonts w:ascii="Times New Roman" w:hAnsi="Times New Roman" w:cs="Times New Roman"/>
          <w:sz w:val="20"/>
          <w:szCs w:val="20"/>
        </w:rPr>
        <w:t xml:space="preserve"> of SS/PBCH block</w:t>
      </w:r>
      <w:r w:rsidRPr="004C0921">
        <w:rPr>
          <w:rFonts w:ascii="Times New Roman" w:hAnsi="Times New Roman" w:cs="Times New Roman"/>
          <w:strike/>
          <w:color w:val="FF0000"/>
          <w:sz w:val="20"/>
          <w:szCs w:val="20"/>
        </w:rPr>
        <w:t>s</w:t>
      </w:r>
      <w:r w:rsidRPr="009C5BFC">
        <w:rPr>
          <w:rFonts w:ascii="Times New Roman" w:hAnsi="Times New Roman" w:cs="Times New Roman"/>
          <w:sz w:val="20"/>
          <w:szCs w:val="20"/>
        </w:rPr>
        <w:t xml:space="preserve"> </w:t>
      </w:r>
      <w:r w:rsidRPr="004C0921">
        <w:rPr>
          <w:rFonts w:ascii="Times New Roman" w:hAnsi="Times New Roman" w:cs="Times New Roman"/>
          <w:color w:val="FF0000"/>
          <w:sz w:val="20"/>
          <w:szCs w:val="20"/>
        </w:rPr>
        <w:t>ind</w:t>
      </w:r>
      <w:r w:rsidRPr="009C5BFC">
        <w:rPr>
          <w:rFonts w:ascii="Times New Roman" w:hAnsi="Times New Roman" w:cs="Times New Roman"/>
          <w:color w:val="FF0000"/>
          <w:sz w:val="20"/>
          <w:szCs w:val="20"/>
        </w:rPr>
        <w:t>exes</w:t>
      </w:r>
      <w:r w:rsidRPr="009C5BFC">
        <w:rPr>
          <w:rFonts w:ascii="Times New Roman" w:hAnsi="Times New Roman" w:cs="Times New Roman"/>
          <w:sz w:val="20"/>
          <w:szCs w:val="20"/>
        </w:rPr>
        <w:t xml:space="preserve"> associated with one PRACH occasion and a number </w:t>
      </w:r>
      <w:r w:rsidRPr="0053281E">
        <w:rPr>
          <w:rFonts w:ascii="Times New Roman" w:hAnsi="Times New Roman" w:cs="Times New Roman"/>
          <w:noProof/>
          <w:position w:val="-4"/>
          <w:sz w:val="20"/>
          <w:szCs w:val="20"/>
        </w:rPr>
        <w:drawing>
          <wp:inline distT="0" distB="0" distL="0" distR="0" wp14:anchorId="1D7E35B8" wp14:editId="0DDFA6F2">
            <wp:extent cx="182880" cy="16002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60020"/>
                    </a:xfrm>
                    <a:prstGeom prst="rect">
                      <a:avLst/>
                    </a:prstGeom>
                    <a:noFill/>
                    <a:ln>
                      <a:noFill/>
                    </a:ln>
                  </pic:spPr>
                </pic:pic>
              </a:graphicData>
            </a:graphic>
          </wp:inline>
        </w:drawing>
      </w:r>
      <w:r w:rsidRPr="009C5BFC">
        <w:rPr>
          <w:rFonts w:ascii="Times New Roman" w:hAnsi="Times New Roman" w:cs="Times New Roman"/>
          <w:sz w:val="20"/>
          <w:szCs w:val="20"/>
        </w:rPr>
        <w:t xml:space="preserve"> of </w:t>
      </w:r>
      <w:proofErr w:type="gramStart"/>
      <w:r w:rsidRPr="009C5BFC">
        <w:rPr>
          <w:rFonts w:ascii="Times New Roman" w:hAnsi="Times New Roman" w:cs="Times New Roman"/>
          <w:sz w:val="20"/>
          <w:szCs w:val="20"/>
        </w:rPr>
        <w:t>contention based</w:t>
      </w:r>
      <w:proofErr w:type="gramEnd"/>
      <w:r w:rsidRPr="009C5BFC">
        <w:rPr>
          <w:rFonts w:ascii="Times New Roman" w:hAnsi="Times New Roman" w:cs="Times New Roman"/>
          <w:sz w:val="20"/>
          <w:szCs w:val="20"/>
        </w:rPr>
        <w:t xml:space="preserve"> preambles per SS/PBCH block </w:t>
      </w:r>
      <w:r w:rsidRPr="004C0921">
        <w:rPr>
          <w:rFonts w:ascii="Times New Roman" w:hAnsi="Times New Roman" w:cs="Times New Roman"/>
          <w:color w:val="FF0000"/>
          <w:sz w:val="20"/>
          <w:szCs w:val="20"/>
        </w:rPr>
        <w:t>index</w:t>
      </w:r>
      <w:r w:rsidRPr="009C5BFC">
        <w:rPr>
          <w:rFonts w:ascii="Times New Roman" w:hAnsi="Times New Roman" w:cs="Times New Roman"/>
          <w:sz w:val="20"/>
          <w:szCs w:val="20"/>
        </w:rPr>
        <w:t xml:space="preserve"> per valid PRACH occasion by </w:t>
      </w:r>
      <w:proofErr w:type="spellStart"/>
      <w:r w:rsidRPr="009C5BFC">
        <w:rPr>
          <w:rFonts w:ascii="Times New Roman" w:hAnsi="Times New Roman" w:cs="Times New Roman"/>
          <w:i/>
          <w:sz w:val="20"/>
          <w:szCs w:val="20"/>
        </w:rPr>
        <w:t>ssb-perRACH-OccasionAndCB-PreamblesPerSSB</w:t>
      </w:r>
      <w:proofErr w:type="spellEnd"/>
      <w:r w:rsidRPr="009C5BFC">
        <w:rPr>
          <w:rFonts w:ascii="Times New Roman" w:hAnsi="Times New Roman" w:cs="Times New Roman"/>
          <w:sz w:val="20"/>
          <w:szCs w:val="20"/>
        </w:rPr>
        <w:t xml:space="preserve">. </w:t>
      </w:r>
    </w:p>
    <w:p w14:paraId="5B06FC98" w14:textId="77777777" w:rsidR="008C04A7" w:rsidRPr="009C5BFC" w:rsidRDefault="008C04A7" w:rsidP="008C04A7">
      <w:pPr>
        <w:rPr>
          <w:rFonts w:ascii="Times New Roman" w:hAnsi="Times New Roman" w:cs="Times New Roman"/>
          <w:sz w:val="20"/>
          <w:szCs w:val="20"/>
        </w:rPr>
      </w:pPr>
      <w:r w:rsidRPr="009C5BFC">
        <w:rPr>
          <w:rFonts w:ascii="Times New Roman" w:hAnsi="Times New Roman" w:cs="Times New Roman"/>
          <w:sz w:val="20"/>
          <w:szCs w:val="20"/>
        </w:rPr>
        <w:t xml:space="preserve">For Type-2 random access procedure with common configuration of PRACH occasions with Type-1 random access procedure, a UE is provided a number </w:t>
      </w:r>
      <m:oMath>
        <m:r>
          <w:rPr>
            <w:rFonts w:ascii="Cambria Math" w:hAnsi="Cambria Math" w:cs="Times New Roman"/>
            <w:sz w:val="20"/>
            <w:szCs w:val="20"/>
          </w:rPr>
          <m:t>N</m:t>
        </m:r>
      </m:oMath>
      <w:r w:rsidRPr="009C5BFC">
        <w:rPr>
          <w:rFonts w:ascii="Times New Roman" w:hAnsi="Times New Roman" w:cs="Times New Roman"/>
          <w:sz w:val="20"/>
          <w:szCs w:val="20"/>
        </w:rPr>
        <w:t xml:space="preserve"> of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associated with one PRACH occasion by </w:t>
      </w:r>
      <w:proofErr w:type="spellStart"/>
      <w:r w:rsidRPr="009C5BFC">
        <w:rPr>
          <w:rFonts w:ascii="Times New Roman" w:hAnsi="Times New Roman" w:cs="Times New Roman"/>
          <w:i/>
          <w:sz w:val="20"/>
          <w:szCs w:val="20"/>
        </w:rPr>
        <w:t>ssb-perRACH-OccasionAndCB-PreamblesPerSSB</w:t>
      </w:r>
      <w:proofErr w:type="spellEnd"/>
      <w:r w:rsidRPr="009C5BFC">
        <w:rPr>
          <w:rFonts w:ascii="Times New Roman" w:hAnsi="Times New Roman" w:cs="Times New Roman"/>
          <w:sz w:val="20"/>
          <w:szCs w:val="20"/>
        </w:rPr>
        <w:t xml:space="preserve"> and a number </w:t>
      </w:r>
      <m:oMath>
        <m:r>
          <w:rPr>
            <w:rFonts w:ascii="Cambria Math" w:hAnsi="Cambria Math" w:cs="Times New Roman"/>
            <w:sz w:val="20"/>
            <w:szCs w:val="20"/>
          </w:rPr>
          <m:t>Q</m:t>
        </m:r>
      </m:oMath>
      <w:r w:rsidRPr="009C5BFC">
        <w:rPr>
          <w:rFonts w:ascii="Times New Roman" w:hAnsi="Times New Roman" w:cs="Times New Roman"/>
          <w:sz w:val="20"/>
          <w:szCs w:val="20"/>
        </w:rPr>
        <w:t xml:space="preserve"> of contention based preambles per SS/PBCH block </w:t>
      </w:r>
      <w:r w:rsidRPr="004C0921">
        <w:rPr>
          <w:rFonts w:ascii="Times New Roman" w:hAnsi="Times New Roman" w:cs="Times New Roman"/>
          <w:color w:val="FF0000"/>
          <w:sz w:val="20"/>
          <w:szCs w:val="20"/>
        </w:rPr>
        <w:t>index</w:t>
      </w:r>
      <w:r w:rsidRPr="009C5BFC">
        <w:rPr>
          <w:rFonts w:ascii="Times New Roman" w:hAnsi="Times New Roman" w:cs="Times New Roman"/>
          <w:sz w:val="20"/>
          <w:szCs w:val="20"/>
        </w:rPr>
        <w:t xml:space="preserve"> per valid PRACH occasion by </w:t>
      </w:r>
      <w:proofErr w:type="spellStart"/>
      <w:r w:rsidRPr="009C5BFC">
        <w:rPr>
          <w:rFonts w:ascii="Times New Roman" w:hAnsi="Times New Roman" w:cs="Times New Roman"/>
          <w:i/>
          <w:iCs/>
          <w:sz w:val="20"/>
          <w:szCs w:val="20"/>
        </w:rPr>
        <w:t>msgA</w:t>
      </w:r>
      <w:proofErr w:type="spellEnd"/>
      <w:r w:rsidRPr="009C5BFC">
        <w:rPr>
          <w:rFonts w:ascii="Times New Roman" w:hAnsi="Times New Roman" w:cs="Times New Roman"/>
          <w:i/>
          <w:iCs/>
          <w:sz w:val="20"/>
          <w:szCs w:val="20"/>
        </w:rPr>
        <w:t>-CB-</w:t>
      </w:r>
      <w:proofErr w:type="spellStart"/>
      <w:r w:rsidRPr="009C5BFC">
        <w:rPr>
          <w:rFonts w:ascii="Times New Roman" w:hAnsi="Times New Roman" w:cs="Times New Roman"/>
          <w:i/>
          <w:iCs/>
          <w:sz w:val="20"/>
          <w:szCs w:val="20"/>
        </w:rPr>
        <w:t>PreamblesPerSSB</w:t>
      </w:r>
      <w:proofErr w:type="spellEnd"/>
      <w:r w:rsidRPr="009C5BFC">
        <w:rPr>
          <w:rFonts w:ascii="Times New Roman" w:hAnsi="Times New Roman" w:cs="Times New Roman"/>
          <w:sz w:val="20"/>
          <w:szCs w:val="20"/>
        </w:rPr>
        <w:t xml:space="preserve">. </w:t>
      </w:r>
      <w:r w:rsidRPr="009C5BFC">
        <w:rPr>
          <w:rFonts w:ascii="Times New Roman" w:hAnsi="Times New Roman" w:cs="Times New Roman"/>
          <w:sz w:val="20"/>
          <w:szCs w:val="20"/>
          <w:shd w:val="clear" w:color="auto" w:fill="FFFFFF"/>
        </w:rPr>
        <w:t xml:space="preserve">The PRACH transmission can be on a subset of PRACH occasions associated with a same SS/PBCH block index for a UE provided with a PRACH mask index by </w:t>
      </w:r>
      <w:proofErr w:type="spellStart"/>
      <w:r w:rsidRPr="009C5BFC">
        <w:rPr>
          <w:rFonts w:ascii="Times New Roman" w:hAnsi="Times New Roman" w:cs="Times New Roman"/>
          <w:i/>
          <w:iCs/>
          <w:sz w:val="20"/>
          <w:szCs w:val="20"/>
          <w:shd w:val="clear" w:color="auto" w:fill="FFFFFF"/>
        </w:rPr>
        <w:t>msgA-ssb-sharedRO-MaskIndex</w:t>
      </w:r>
      <w:proofErr w:type="spellEnd"/>
      <w:r w:rsidRPr="009C5BFC">
        <w:rPr>
          <w:rStyle w:val="apple-converted-space"/>
          <w:rFonts w:ascii="Times New Roman" w:hAnsi="Times New Roman" w:cs="Times New Roman"/>
          <w:sz w:val="20"/>
          <w:szCs w:val="20"/>
          <w:shd w:val="clear" w:color="auto" w:fill="FFFFFF"/>
        </w:rPr>
        <w:t xml:space="preserve"> </w:t>
      </w:r>
      <w:r w:rsidRPr="009C5BFC">
        <w:rPr>
          <w:rFonts w:ascii="Times New Roman" w:hAnsi="Times New Roman" w:cs="Times New Roman"/>
          <w:sz w:val="20"/>
          <w:szCs w:val="20"/>
          <w:shd w:val="clear" w:color="auto" w:fill="FFFFFF"/>
        </w:rPr>
        <w:t>according to [11, TS 38.321]</w:t>
      </w:r>
      <w:r w:rsidRPr="009C5BFC">
        <w:rPr>
          <w:rFonts w:ascii="Times New Roman" w:hAnsi="Times New Roman" w:cs="Times New Roman"/>
          <w:sz w:val="20"/>
          <w:szCs w:val="20"/>
        </w:rPr>
        <w:t>.</w:t>
      </w:r>
    </w:p>
    <w:p w14:paraId="3615318E" w14:textId="77777777" w:rsidR="008C04A7" w:rsidRPr="009C5BFC" w:rsidRDefault="008C04A7" w:rsidP="008C04A7">
      <w:pPr>
        <w:rPr>
          <w:rFonts w:ascii="Times New Roman" w:hAnsi="Times New Roman" w:cs="Times New Roman"/>
          <w:sz w:val="20"/>
          <w:szCs w:val="20"/>
        </w:rPr>
      </w:pPr>
      <w:r w:rsidRPr="009C5BFC">
        <w:rPr>
          <w:rFonts w:ascii="Times New Roman" w:hAnsi="Times New Roman" w:cs="Times New Roman"/>
          <w:sz w:val="20"/>
          <w:szCs w:val="20"/>
        </w:rPr>
        <w:t xml:space="preserve">For Type-2 random access procedure with separate configuration of PRACH occasions with Type-1 random access procedure, a UE is provided a number </w:t>
      </w:r>
      <m:oMath>
        <m:r>
          <w:rPr>
            <w:rFonts w:ascii="Cambria Math" w:hAnsi="Cambria Math" w:cs="Times New Roman"/>
            <w:sz w:val="20"/>
            <w:szCs w:val="20"/>
          </w:rPr>
          <m:t>N</m:t>
        </m:r>
      </m:oMath>
      <w:r w:rsidRPr="009C5BFC">
        <w:rPr>
          <w:rFonts w:ascii="Times New Roman" w:hAnsi="Times New Roman" w:cs="Times New Roman"/>
          <w:sz w:val="20"/>
          <w:szCs w:val="20"/>
        </w:rPr>
        <w:t xml:space="preserve"> of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associated with one PRACH occasion and a number </w:t>
      </w:r>
      <m:oMath>
        <m:r>
          <w:rPr>
            <w:rFonts w:ascii="Cambria Math" w:hAnsi="Cambria Math" w:cs="Times New Roman"/>
            <w:sz w:val="20"/>
            <w:szCs w:val="20"/>
          </w:rPr>
          <m:t>R</m:t>
        </m:r>
      </m:oMath>
      <w:r w:rsidRPr="009C5BFC">
        <w:rPr>
          <w:rFonts w:ascii="Times New Roman" w:hAnsi="Times New Roman" w:cs="Times New Roman"/>
          <w:sz w:val="20"/>
          <w:szCs w:val="20"/>
        </w:rPr>
        <w:t xml:space="preserve"> of contention based preambles p</w:t>
      </w:r>
      <w:proofErr w:type="spellStart"/>
      <w:r w:rsidRPr="009C5BFC">
        <w:rPr>
          <w:rFonts w:ascii="Times New Roman" w:hAnsi="Times New Roman" w:cs="Times New Roman"/>
          <w:sz w:val="20"/>
          <w:szCs w:val="20"/>
        </w:rPr>
        <w:t>er</w:t>
      </w:r>
      <w:proofErr w:type="spellEnd"/>
      <w:r w:rsidRPr="009C5BFC">
        <w:rPr>
          <w:rFonts w:ascii="Times New Roman" w:hAnsi="Times New Roman" w:cs="Times New Roman"/>
          <w:sz w:val="20"/>
          <w:szCs w:val="20"/>
        </w:rPr>
        <w:t xml:space="preserve"> SS/PBCH block </w:t>
      </w:r>
      <w:r w:rsidRPr="004C0921">
        <w:rPr>
          <w:rFonts w:ascii="Times New Roman" w:hAnsi="Times New Roman" w:cs="Times New Roman"/>
          <w:color w:val="FF0000"/>
          <w:sz w:val="20"/>
          <w:szCs w:val="20"/>
        </w:rPr>
        <w:t>index</w:t>
      </w:r>
      <w:r w:rsidRPr="009C5BFC">
        <w:rPr>
          <w:rFonts w:ascii="Times New Roman" w:hAnsi="Times New Roman" w:cs="Times New Roman"/>
          <w:sz w:val="20"/>
          <w:szCs w:val="20"/>
        </w:rPr>
        <w:t xml:space="preserve"> per valid PRACH occasion by </w:t>
      </w:r>
      <w:proofErr w:type="spellStart"/>
      <w:r w:rsidRPr="009C5BFC">
        <w:rPr>
          <w:rFonts w:ascii="Times New Roman" w:hAnsi="Times New Roman" w:cs="Times New Roman"/>
          <w:i/>
          <w:iCs/>
          <w:sz w:val="20"/>
          <w:szCs w:val="20"/>
        </w:rPr>
        <w:t>ssb-perRACH-OccasionAndCB-PreamblesPerSSB-msgA</w:t>
      </w:r>
      <w:proofErr w:type="spellEnd"/>
      <w:r w:rsidRPr="009C5BFC">
        <w:rPr>
          <w:rFonts w:ascii="Times New Roman" w:hAnsi="Times New Roman" w:cs="Times New Roman"/>
          <w:iCs/>
          <w:sz w:val="20"/>
          <w:szCs w:val="20"/>
        </w:rPr>
        <w:t xml:space="preserve"> when provided; otherwise, by </w:t>
      </w:r>
      <w:proofErr w:type="spellStart"/>
      <w:r w:rsidRPr="009C5BFC">
        <w:rPr>
          <w:rFonts w:ascii="Times New Roman" w:hAnsi="Times New Roman" w:cs="Times New Roman"/>
          <w:i/>
          <w:iCs/>
          <w:sz w:val="20"/>
          <w:szCs w:val="20"/>
        </w:rPr>
        <w:t>ssb-perRACH-OccasionAndCB-PreamblesPerSSB</w:t>
      </w:r>
      <w:proofErr w:type="spellEnd"/>
      <w:r w:rsidRPr="009C5BFC">
        <w:rPr>
          <w:rFonts w:ascii="Times New Roman" w:hAnsi="Times New Roman" w:cs="Times New Roman"/>
          <w:sz w:val="20"/>
          <w:szCs w:val="20"/>
        </w:rPr>
        <w:t>.</w:t>
      </w:r>
    </w:p>
    <w:p w14:paraId="661AE25C" w14:textId="77777777" w:rsidR="008C04A7" w:rsidRPr="009C5BFC" w:rsidRDefault="008C04A7" w:rsidP="008C04A7">
      <w:pPr>
        <w:spacing w:after="240"/>
        <w:rPr>
          <w:rFonts w:ascii="Times New Roman" w:hAnsi="Times New Roman" w:cs="Times New Roman"/>
          <w:sz w:val="20"/>
          <w:szCs w:val="20"/>
        </w:rPr>
      </w:pPr>
      <w:r w:rsidRPr="00290A61">
        <w:rPr>
          <w:rFonts w:ascii="Times New Roman" w:hAnsi="Times New Roman" w:cs="Times New Roman"/>
          <w:sz w:val="20"/>
          <w:szCs w:val="20"/>
        </w:rPr>
        <w:t>For Type-1 random access procedure, or for Type-2 random access procedure</w:t>
      </w:r>
      <w:r w:rsidRPr="009C5BFC">
        <w:rPr>
          <w:rFonts w:ascii="Times New Roman" w:hAnsi="Times New Roman" w:cs="Times New Roman"/>
          <w:sz w:val="20"/>
          <w:szCs w:val="20"/>
        </w:rPr>
        <w:t xml:space="preserve"> with separate configuration of PRACH occasions from Type 1 random access procedure</w:t>
      </w:r>
      <w:r w:rsidRPr="00290A61">
        <w:rPr>
          <w:rFonts w:ascii="Times New Roman" w:hAnsi="Times New Roman" w:cs="Times New Roman"/>
          <w:sz w:val="20"/>
          <w:szCs w:val="20"/>
        </w:rPr>
        <w:t xml:space="preserve">, </w:t>
      </w:r>
      <w:r w:rsidRPr="009C5BFC">
        <w:rPr>
          <w:rFonts w:ascii="Times New Roman" w:hAnsi="Times New Roman" w:cs="Times New Roman"/>
          <w:sz w:val="20"/>
          <w:szCs w:val="20"/>
        </w:rPr>
        <w:t xml:space="preserve">if </w:t>
      </w:r>
      <m:oMath>
        <m:r>
          <w:rPr>
            <w:rFonts w:ascii="Cambria Math" w:hAnsi="Cambria Math" w:cs="Times New Roman"/>
            <w:sz w:val="20"/>
            <w:szCs w:val="20"/>
          </w:rPr>
          <m:t>N&lt;1</m:t>
        </m:r>
      </m:oMath>
      <w:r w:rsidRPr="009C5BFC">
        <w:rPr>
          <w:rFonts w:ascii="Times New Roman" w:hAnsi="Times New Roman" w:cs="Times New Roman"/>
          <w:sz w:val="20"/>
          <w:szCs w:val="20"/>
        </w:rPr>
        <w:t xml:space="preserve">, one SS/PBCH block </w:t>
      </w:r>
      <w:r w:rsidRPr="004C0921">
        <w:rPr>
          <w:rFonts w:ascii="Times New Roman" w:hAnsi="Times New Roman" w:cs="Times New Roman"/>
          <w:color w:val="FF0000"/>
          <w:sz w:val="20"/>
          <w:szCs w:val="20"/>
        </w:rPr>
        <w:t>index</w:t>
      </w:r>
      <w:r w:rsidRPr="009C5BFC">
        <w:rPr>
          <w:rFonts w:ascii="Times New Roman" w:hAnsi="Times New Roman" w:cs="Times New Roman"/>
          <w:sz w:val="20"/>
          <w:szCs w:val="20"/>
        </w:rPr>
        <w:t xml:space="preserve"> is mapped to </w:t>
      </w:r>
      <m:oMath>
        <m:f>
          <m:fPr>
            <m:type m:val="lin"/>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N</m:t>
            </m:r>
          </m:den>
        </m:f>
      </m:oMath>
      <w:r w:rsidRPr="009C5BFC">
        <w:rPr>
          <w:rFonts w:ascii="Times New Roman" w:hAnsi="Times New Roman" w:cs="Times New Roman"/>
          <w:sz w:val="20"/>
          <w:szCs w:val="20"/>
        </w:rPr>
        <w:t xml:space="preserve"> consecutive valid PRACH occasions </w:t>
      </w:r>
      <w:r w:rsidRPr="009C5BFC">
        <w:rPr>
          <w:rFonts w:ascii="Times New Roman" w:hAnsi="Times New Roman" w:cs="Times New Roman"/>
          <w:sz w:val="20"/>
          <w:szCs w:val="20"/>
          <w:lang w:eastAsia="zh-CN"/>
        </w:rPr>
        <w:t xml:space="preserve">and </w:t>
      </w:r>
      <m:oMath>
        <m:r>
          <w:rPr>
            <w:rFonts w:ascii="Cambria Math" w:hAnsi="Cambria Math" w:cs="Times New Roman"/>
            <w:sz w:val="20"/>
            <w:szCs w:val="20"/>
            <w:lang w:eastAsia="zh-CN"/>
          </w:rPr>
          <m:t>R</m:t>
        </m:r>
      </m:oMath>
      <w:r w:rsidRPr="009C5BFC">
        <w:rPr>
          <w:rFonts w:ascii="Times New Roman" w:hAnsi="Times New Roman" w:cs="Times New Roman"/>
          <w:sz w:val="20"/>
          <w:szCs w:val="20"/>
          <w:lang w:eastAsia="zh-CN"/>
        </w:rPr>
        <w:t xml:space="preserve"> contention based preambles with consecutive indexes associated with the SS/PBCH block </w:t>
      </w:r>
      <w:r w:rsidRPr="004C0921">
        <w:rPr>
          <w:rFonts w:ascii="Times New Roman" w:hAnsi="Times New Roman" w:cs="Times New Roman"/>
          <w:color w:val="FF0000"/>
          <w:sz w:val="20"/>
          <w:szCs w:val="20"/>
          <w:lang w:eastAsia="zh-CN"/>
        </w:rPr>
        <w:t>index</w:t>
      </w:r>
      <w:r w:rsidRPr="009C5BFC">
        <w:rPr>
          <w:rFonts w:ascii="Times New Roman" w:hAnsi="Times New Roman" w:cs="Times New Roman"/>
          <w:sz w:val="20"/>
          <w:szCs w:val="20"/>
          <w:lang w:eastAsia="zh-CN"/>
        </w:rPr>
        <w:t xml:space="preserve"> per valid PRACH occasion start from preamble index 0</w:t>
      </w:r>
      <w:r w:rsidRPr="009C5BFC">
        <w:rPr>
          <w:rFonts w:ascii="Times New Roman" w:hAnsi="Times New Roman" w:cs="Times New Roman"/>
          <w:sz w:val="20"/>
          <w:szCs w:val="20"/>
        </w:rPr>
        <w:t xml:space="preserve">. If </w:t>
      </w:r>
      <m:oMath>
        <m:r>
          <w:rPr>
            <w:rFonts w:ascii="Cambria Math" w:hAnsi="Cambria Math" w:cs="Times New Roman"/>
            <w:sz w:val="20"/>
            <w:szCs w:val="20"/>
          </w:rPr>
          <m:t>N≥1</m:t>
        </m:r>
      </m:oMath>
      <w:r w:rsidRPr="009C5BFC">
        <w:rPr>
          <w:rFonts w:ascii="Times New Roman" w:hAnsi="Times New Roman" w:cs="Times New Roman"/>
          <w:sz w:val="20"/>
          <w:szCs w:val="20"/>
        </w:rPr>
        <w:t xml:space="preserve">, </w:t>
      </w:r>
      <m:oMath>
        <m:r>
          <w:rPr>
            <w:rFonts w:ascii="Cambria Math" w:hAnsi="Cambria Math" w:cs="Times New Roman"/>
            <w:sz w:val="20"/>
            <w:szCs w:val="20"/>
            <w:lang w:eastAsia="zh-CN"/>
          </w:rPr>
          <m:t>R</m:t>
        </m:r>
      </m:oMath>
      <w:r w:rsidRPr="009C5BFC">
        <w:rPr>
          <w:rFonts w:ascii="Times New Roman" w:hAnsi="Times New Roman" w:cs="Times New Roman"/>
          <w:sz w:val="20"/>
          <w:szCs w:val="20"/>
        </w:rPr>
        <w:t xml:space="preserve"> contention based preambles with consecutive indexes associated with SS/PBCH block </w:t>
      </w:r>
      <w:r w:rsidRPr="004C0921">
        <w:rPr>
          <w:rFonts w:ascii="Times New Roman" w:hAnsi="Times New Roman" w:cs="Times New Roman"/>
          <w:color w:val="FF0000"/>
          <w:sz w:val="20"/>
          <w:szCs w:val="20"/>
        </w:rPr>
        <w:t>index</w:t>
      </w:r>
      <w:r w:rsidRPr="009C5BFC">
        <w:rPr>
          <w:rFonts w:ascii="Times New Roman" w:hAnsi="Times New Roman" w:cs="Times New Roman"/>
          <w:sz w:val="20"/>
          <w:szCs w:val="20"/>
        </w:rPr>
        <w:t xml:space="preserve"> </w:t>
      </w:r>
      <m:oMath>
        <m:r>
          <w:rPr>
            <w:rFonts w:ascii="Cambria Math" w:hAnsi="Cambria Math" w:cs="Times New Roman"/>
            <w:sz w:val="20"/>
            <w:szCs w:val="20"/>
            <w:lang w:eastAsia="zh-CN"/>
          </w:rPr>
          <m:t>n</m:t>
        </m:r>
      </m:oMath>
      <w:r w:rsidRPr="009C5BFC">
        <w:rPr>
          <w:rFonts w:ascii="Times New Roman" w:hAnsi="Times New Roman" w:cs="Times New Roman"/>
          <w:sz w:val="20"/>
          <w:szCs w:val="20"/>
        </w:rPr>
        <w:t xml:space="preserve">, </w:t>
      </w:r>
      <m:oMath>
        <m:r>
          <w:rPr>
            <w:rFonts w:ascii="Cambria Math" w:hAnsi="Cambria Math" w:cs="Times New Roman"/>
            <w:sz w:val="20"/>
            <w:szCs w:val="20"/>
          </w:rPr>
          <m:t>0≤n≤N-1</m:t>
        </m:r>
      </m:oMath>
      <w:r w:rsidRPr="009C5BFC">
        <w:rPr>
          <w:rFonts w:ascii="Times New Roman" w:hAnsi="Times New Roman" w:cs="Times New Roman"/>
          <w:sz w:val="20"/>
          <w:szCs w:val="20"/>
        </w:rPr>
        <w:t xml:space="preserve">, per valid PRACH occasion start from </w:t>
      </w:r>
      <w:r w:rsidRPr="009C5BFC">
        <w:rPr>
          <w:rFonts w:ascii="Times New Roman" w:hAnsi="Times New Roman" w:cs="Times New Roman"/>
          <w:sz w:val="20"/>
          <w:szCs w:val="20"/>
        </w:rPr>
        <w:lastRenderedPageBreak/>
        <w:t xml:space="preserve">preamble index </w:t>
      </w:r>
      <m:oMath>
        <m:r>
          <w:rPr>
            <w:rFonts w:ascii="Cambria Math" w:hAnsi="Cambria Math" w:cs="Times New Roman"/>
            <w:sz w:val="20"/>
            <w:szCs w:val="20"/>
          </w:rPr>
          <m:t>n</m:t>
        </m:r>
        <m:f>
          <m:fPr>
            <m:type m:val="lin"/>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color w:val="000000" w:themeColor="text1"/>
                    <w:sz w:val="20"/>
                    <w:szCs w:val="20"/>
                  </w:rPr>
                  <m:t>⋅</m:t>
                </m:r>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total</m:t>
                </m:r>
              </m:sup>
            </m:sSubSup>
          </m:num>
          <m:den>
            <m:r>
              <w:rPr>
                <w:rFonts w:ascii="Cambria Math" w:hAnsi="Cambria Math" w:cs="Times New Roman"/>
                <w:sz w:val="20"/>
                <w:szCs w:val="20"/>
              </w:rPr>
              <m:t>N</m:t>
            </m:r>
          </m:den>
        </m:f>
      </m:oMath>
      <w:r w:rsidRPr="009C5BFC">
        <w:rPr>
          <w:rFonts w:ascii="Times New Roman" w:hAnsi="Times New Roman" w:cs="Times New Roman"/>
          <w:sz w:val="20"/>
          <w:szCs w:val="20"/>
        </w:rPr>
        <w:t xml:space="preserve"> where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total</m:t>
            </m:r>
          </m:sup>
        </m:sSubSup>
      </m:oMath>
      <w:r w:rsidRPr="009C5BFC">
        <w:rPr>
          <w:rFonts w:ascii="Times New Roman" w:hAnsi="Times New Roman" w:cs="Times New Roman"/>
          <w:sz w:val="20"/>
          <w:szCs w:val="20"/>
        </w:rPr>
        <w:t xml:space="preserve"> is provided by </w:t>
      </w:r>
      <w:proofErr w:type="spellStart"/>
      <w:r w:rsidRPr="00290A61">
        <w:rPr>
          <w:rFonts w:ascii="Times New Roman" w:hAnsi="Times New Roman" w:cs="Times New Roman"/>
          <w:i/>
          <w:sz w:val="20"/>
          <w:szCs w:val="20"/>
        </w:rPr>
        <w:t>totalNumberOfRA</w:t>
      </w:r>
      <w:proofErr w:type="spellEnd"/>
      <w:r w:rsidRPr="00290A61">
        <w:rPr>
          <w:rFonts w:ascii="Times New Roman" w:hAnsi="Times New Roman" w:cs="Times New Roman"/>
          <w:i/>
          <w:sz w:val="20"/>
          <w:szCs w:val="20"/>
        </w:rPr>
        <w:t>-Preambles</w:t>
      </w:r>
      <w:r w:rsidRPr="00290A61">
        <w:rPr>
          <w:rFonts w:ascii="Times New Roman" w:hAnsi="Times New Roman" w:cs="Times New Roman"/>
          <w:sz w:val="20"/>
          <w:szCs w:val="20"/>
        </w:rPr>
        <w:t xml:space="preserve"> for Type-1 random access procedure, or by </w:t>
      </w:r>
      <w:proofErr w:type="spellStart"/>
      <w:r w:rsidRPr="00290A61">
        <w:rPr>
          <w:rFonts w:ascii="Times New Roman" w:hAnsi="Times New Roman" w:cs="Times New Roman"/>
          <w:i/>
          <w:sz w:val="20"/>
          <w:szCs w:val="20"/>
        </w:rPr>
        <w:t>msgA</w:t>
      </w:r>
      <w:proofErr w:type="spellEnd"/>
      <w:r w:rsidRPr="00290A61">
        <w:rPr>
          <w:rFonts w:ascii="Times New Roman" w:hAnsi="Times New Roman" w:cs="Times New Roman"/>
          <w:i/>
          <w:sz w:val="20"/>
          <w:szCs w:val="20"/>
        </w:rPr>
        <w:t>-</w:t>
      </w:r>
      <w:proofErr w:type="spellStart"/>
      <w:r w:rsidRPr="00290A61">
        <w:rPr>
          <w:rFonts w:ascii="Times New Roman" w:hAnsi="Times New Roman" w:cs="Times New Roman"/>
          <w:i/>
          <w:sz w:val="20"/>
          <w:szCs w:val="20"/>
        </w:rPr>
        <w:t>totalNumberOfRA</w:t>
      </w:r>
      <w:proofErr w:type="spellEnd"/>
      <w:r w:rsidRPr="00290A61">
        <w:rPr>
          <w:rFonts w:ascii="Times New Roman" w:hAnsi="Times New Roman" w:cs="Times New Roman"/>
          <w:i/>
          <w:sz w:val="20"/>
          <w:szCs w:val="20"/>
        </w:rPr>
        <w:t>-Preambles</w:t>
      </w:r>
      <w:r w:rsidRPr="00290A61">
        <w:rPr>
          <w:rFonts w:ascii="Times New Roman" w:hAnsi="Times New Roman" w:cs="Times New Roman"/>
          <w:sz w:val="20"/>
          <w:szCs w:val="20"/>
        </w:rPr>
        <w:t xml:space="preserve"> for Type-2 random access procedure</w:t>
      </w:r>
      <w:r w:rsidRPr="009C5BFC">
        <w:rPr>
          <w:rFonts w:ascii="Times New Roman" w:hAnsi="Times New Roman" w:cs="Times New Roman"/>
          <w:sz w:val="20"/>
          <w:szCs w:val="20"/>
        </w:rPr>
        <w:t xml:space="preserve"> with separate configuration of PRACH occasions from a Type 1 random access procedure</w:t>
      </w:r>
      <w:r w:rsidRPr="00290A61">
        <w:rPr>
          <w:rFonts w:ascii="Times New Roman" w:hAnsi="Times New Roman" w:cs="Times New Roman"/>
          <w:sz w:val="20"/>
          <w:szCs w:val="20"/>
        </w:rPr>
        <w:t xml:space="preserve">, and is an integer multiple of </w:t>
      </w:r>
      <m:oMath>
        <m:r>
          <w:rPr>
            <w:rFonts w:ascii="Cambria Math" w:hAnsi="Cambria Math" w:cs="Times New Roman"/>
            <w:sz w:val="20"/>
            <w:szCs w:val="20"/>
          </w:rPr>
          <m:t>N</m:t>
        </m:r>
      </m:oMath>
      <w:r w:rsidRPr="009C5BFC">
        <w:rPr>
          <w:rFonts w:ascii="Times New Roman" w:hAnsi="Times New Roman" w:cs="Times New Roman"/>
          <w:sz w:val="20"/>
          <w:szCs w:val="20"/>
        </w:rPr>
        <w:t xml:space="preserve">. </w:t>
      </w:r>
    </w:p>
    <w:p w14:paraId="306AD218" w14:textId="77777777" w:rsidR="008C04A7" w:rsidRPr="009C5BFC" w:rsidRDefault="008C04A7" w:rsidP="008C04A7">
      <w:pPr>
        <w:spacing w:after="240"/>
        <w:rPr>
          <w:rFonts w:ascii="Times New Roman" w:hAnsi="Times New Roman" w:cs="Times New Roman"/>
          <w:sz w:val="20"/>
          <w:szCs w:val="20"/>
        </w:rPr>
      </w:pPr>
      <w:r w:rsidRPr="009C5BFC">
        <w:rPr>
          <w:rFonts w:ascii="Times New Roman" w:hAnsi="Times New Roman" w:cs="Times New Roman"/>
          <w:sz w:val="20"/>
          <w:szCs w:val="20"/>
        </w:rPr>
        <w:t xml:space="preserve">For Type-2 random access procedure with common configuration of PRACH occasions with Type-1 random access procedure, if </w:t>
      </w:r>
      <m:oMath>
        <m:r>
          <w:rPr>
            <w:rFonts w:ascii="Cambria Math" w:hAnsi="Cambria Math" w:cs="Times New Roman"/>
            <w:sz w:val="20"/>
            <w:szCs w:val="20"/>
          </w:rPr>
          <m:t>N&lt;1</m:t>
        </m:r>
      </m:oMath>
      <w:r w:rsidRPr="009C5BFC">
        <w:rPr>
          <w:rFonts w:ascii="Times New Roman" w:hAnsi="Times New Roman" w:cs="Times New Roman"/>
          <w:sz w:val="20"/>
          <w:szCs w:val="20"/>
        </w:rPr>
        <w:t xml:space="preserve">, one SS/PBCH block </w:t>
      </w:r>
      <w:r w:rsidRPr="004C0921">
        <w:rPr>
          <w:rFonts w:ascii="Times New Roman" w:hAnsi="Times New Roman" w:cs="Times New Roman"/>
          <w:color w:val="FF0000"/>
          <w:sz w:val="20"/>
          <w:szCs w:val="20"/>
        </w:rPr>
        <w:t>index</w:t>
      </w:r>
      <w:r w:rsidRPr="009C5BFC">
        <w:rPr>
          <w:rFonts w:ascii="Times New Roman" w:hAnsi="Times New Roman" w:cs="Times New Roman"/>
          <w:sz w:val="20"/>
          <w:szCs w:val="20"/>
        </w:rPr>
        <w:t xml:space="preserve"> is mapped to </w:t>
      </w:r>
      <m:oMath>
        <m:f>
          <m:fPr>
            <m:type m:val="lin"/>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N</m:t>
            </m:r>
          </m:den>
        </m:f>
      </m:oMath>
      <w:r w:rsidRPr="009C5BFC">
        <w:rPr>
          <w:rFonts w:ascii="Times New Roman" w:hAnsi="Times New Roman" w:cs="Times New Roman"/>
          <w:sz w:val="20"/>
          <w:szCs w:val="20"/>
        </w:rPr>
        <w:t xml:space="preserve"> consecutive valid PRACH occasions and </w:t>
      </w:r>
      <m:oMath>
        <m:r>
          <w:rPr>
            <w:rFonts w:ascii="Cambria Math" w:hAnsi="Cambria Math" w:cs="Times New Roman"/>
            <w:sz w:val="20"/>
            <w:szCs w:val="20"/>
          </w:rPr>
          <m:t>Q</m:t>
        </m:r>
      </m:oMath>
      <w:r w:rsidRPr="009C5BFC">
        <w:rPr>
          <w:rFonts w:ascii="Times New Roman" w:hAnsi="Times New Roman" w:cs="Times New Roman"/>
          <w:sz w:val="20"/>
          <w:szCs w:val="20"/>
        </w:rPr>
        <w:t xml:space="preserve"> contention based preambles with consecutive indexes associated with the SS/PBCH block </w:t>
      </w:r>
      <w:r w:rsidRPr="004C0921">
        <w:rPr>
          <w:rFonts w:ascii="Times New Roman" w:hAnsi="Times New Roman" w:cs="Times New Roman"/>
          <w:color w:val="FF0000"/>
          <w:sz w:val="20"/>
          <w:szCs w:val="20"/>
        </w:rPr>
        <w:t>index</w:t>
      </w:r>
      <w:r w:rsidRPr="009C5BFC">
        <w:rPr>
          <w:rFonts w:ascii="Times New Roman" w:hAnsi="Times New Roman" w:cs="Times New Roman"/>
          <w:sz w:val="20"/>
          <w:szCs w:val="20"/>
        </w:rPr>
        <w:t xml:space="preserve"> per valid PRACH occasion start from preamble index </w:t>
      </w:r>
      <m:oMath>
        <m:r>
          <w:rPr>
            <w:rFonts w:ascii="Cambria Math" w:hAnsi="Cambria Math" w:cs="Times New Roman"/>
            <w:sz w:val="20"/>
            <w:szCs w:val="20"/>
            <w:lang w:eastAsia="zh-CN"/>
          </w:rPr>
          <m:t>R</m:t>
        </m:r>
      </m:oMath>
      <w:r w:rsidRPr="009C5BFC">
        <w:rPr>
          <w:rFonts w:ascii="Times New Roman" w:hAnsi="Times New Roman" w:cs="Times New Roman"/>
          <w:sz w:val="20"/>
          <w:szCs w:val="20"/>
        </w:rPr>
        <w:t xml:space="preserve">. If </w:t>
      </w:r>
      <m:oMath>
        <m:r>
          <w:rPr>
            <w:rFonts w:ascii="Cambria Math" w:hAnsi="Cambria Math" w:cs="Times New Roman"/>
            <w:sz w:val="20"/>
            <w:szCs w:val="20"/>
          </w:rPr>
          <m:t>N≥1</m:t>
        </m:r>
      </m:oMath>
      <w:r w:rsidRPr="009C5BFC">
        <w:rPr>
          <w:rFonts w:ascii="Times New Roman" w:hAnsi="Times New Roman" w:cs="Times New Roman"/>
          <w:sz w:val="20"/>
          <w:szCs w:val="20"/>
        </w:rPr>
        <w:t xml:space="preserve">, </w:t>
      </w:r>
      <m:oMath>
        <m:r>
          <w:rPr>
            <w:rFonts w:ascii="Cambria Math" w:hAnsi="Cambria Math" w:cs="Times New Roman"/>
            <w:sz w:val="20"/>
            <w:szCs w:val="20"/>
          </w:rPr>
          <m:t>Q</m:t>
        </m:r>
      </m:oMath>
      <w:r w:rsidRPr="009C5BFC">
        <w:rPr>
          <w:rFonts w:ascii="Times New Roman" w:hAnsi="Times New Roman" w:cs="Times New Roman"/>
          <w:sz w:val="20"/>
          <w:szCs w:val="20"/>
        </w:rPr>
        <w:t xml:space="preserve"> contention based preambles with consecutive indexes associated with SS/PBCH block </w:t>
      </w:r>
      <w:r w:rsidRPr="004C0921">
        <w:rPr>
          <w:rFonts w:ascii="Times New Roman" w:hAnsi="Times New Roman" w:cs="Times New Roman"/>
          <w:color w:val="FF0000"/>
          <w:sz w:val="20"/>
          <w:szCs w:val="20"/>
        </w:rPr>
        <w:t>index</w:t>
      </w:r>
      <w:r w:rsidRPr="009C5BFC">
        <w:rPr>
          <w:rFonts w:ascii="Times New Roman" w:hAnsi="Times New Roman" w:cs="Times New Roman"/>
          <w:sz w:val="20"/>
          <w:szCs w:val="20"/>
        </w:rPr>
        <w:t xml:space="preserve"> </w:t>
      </w:r>
      <m:oMath>
        <m:r>
          <w:rPr>
            <w:rFonts w:ascii="Cambria Math" w:hAnsi="Cambria Math" w:cs="Times New Roman"/>
            <w:sz w:val="20"/>
            <w:szCs w:val="20"/>
            <w:lang w:eastAsia="zh-CN"/>
          </w:rPr>
          <m:t>n</m:t>
        </m:r>
      </m:oMath>
      <w:r w:rsidRPr="009C5BFC">
        <w:rPr>
          <w:rFonts w:ascii="Times New Roman" w:hAnsi="Times New Roman" w:cs="Times New Roman"/>
          <w:sz w:val="20"/>
          <w:szCs w:val="20"/>
        </w:rPr>
        <w:t xml:space="preserve">, </w:t>
      </w:r>
      <m:oMath>
        <m:r>
          <w:rPr>
            <w:rFonts w:ascii="Cambria Math" w:hAnsi="Cambria Math" w:cs="Times New Roman"/>
            <w:sz w:val="20"/>
            <w:szCs w:val="20"/>
          </w:rPr>
          <m:t>0≤n≤N-1</m:t>
        </m:r>
      </m:oMath>
      <w:r w:rsidRPr="009C5BFC">
        <w:rPr>
          <w:rFonts w:ascii="Times New Roman" w:hAnsi="Times New Roman" w:cs="Times New Roman"/>
          <w:sz w:val="20"/>
          <w:szCs w:val="20"/>
        </w:rPr>
        <w:t xml:space="preserve">, per valid PRACH occasion start from preamble index </w:t>
      </w:r>
      <m:oMath>
        <m:r>
          <w:rPr>
            <w:rFonts w:ascii="Cambria Math" w:hAnsi="Cambria Math" w:cs="Times New Roman"/>
            <w:sz w:val="20"/>
            <w:szCs w:val="20"/>
          </w:rPr>
          <m:t>n</m:t>
        </m:r>
        <m:f>
          <m:fPr>
            <m:type m:val="lin"/>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r>
                  <w:rPr>
                    <w:rFonts w:ascii="Cambria Math" w:hAnsi="Cambria Math" w:cs="Times New Roman"/>
                    <w:color w:val="000000" w:themeColor="text1"/>
                    <w:sz w:val="20"/>
                    <w:szCs w:val="20"/>
                  </w:rPr>
                  <m:t>⋅</m:t>
                </m:r>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total</m:t>
                </m:r>
              </m:sup>
            </m:sSubSup>
          </m:num>
          <m:den>
            <m:r>
              <w:rPr>
                <w:rFonts w:ascii="Cambria Math" w:hAnsi="Cambria Math" w:cs="Times New Roman"/>
                <w:sz w:val="20"/>
                <w:szCs w:val="20"/>
              </w:rPr>
              <m:t>N</m:t>
            </m:r>
          </m:den>
        </m:f>
        <m:r>
          <w:rPr>
            <w:rFonts w:ascii="Cambria Math" w:hAnsi="Cambria Math" w:cs="Times New Roman"/>
            <w:sz w:val="20"/>
            <w:szCs w:val="20"/>
          </w:rPr>
          <m:t>+R</m:t>
        </m:r>
      </m:oMath>
      <w:r w:rsidRPr="009C5BFC">
        <w:rPr>
          <w:rFonts w:ascii="Times New Roman" w:hAnsi="Times New Roman" w:cs="Times New Roman"/>
          <w:sz w:val="20"/>
          <w:szCs w:val="20"/>
        </w:rPr>
        <w:t xml:space="preserve">, where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total</m:t>
            </m:r>
          </m:sup>
        </m:sSubSup>
      </m:oMath>
      <w:r w:rsidRPr="009C5BFC">
        <w:rPr>
          <w:rFonts w:ascii="Times New Roman" w:hAnsi="Times New Roman" w:cs="Times New Roman"/>
          <w:sz w:val="20"/>
          <w:szCs w:val="20"/>
        </w:rPr>
        <w:t xml:space="preserve"> is provided by </w:t>
      </w:r>
      <w:proofErr w:type="spellStart"/>
      <w:r w:rsidRPr="00290A61">
        <w:rPr>
          <w:rFonts w:ascii="Times New Roman" w:hAnsi="Times New Roman" w:cs="Times New Roman"/>
          <w:i/>
          <w:sz w:val="20"/>
          <w:szCs w:val="20"/>
        </w:rPr>
        <w:t>totalNumberOfRA</w:t>
      </w:r>
      <w:proofErr w:type="spellEnd"/>
      <w:r w:rsidRPr="00290A61">
        <w:rPr>
          <w:rFonts w:ascii="Times New Roman" w:hAnsi="Times New Roman" w:cs="Times New Roman"/>
          <w:i/>
          <w:sz w:val="20"/>
          <w:szCs w:val="20"/>
        </w:rPr>
        <w:t>-Preambles</w:t>
      </w:r>
      <w:r w:rsidRPr="00290A61">
        <w:rPr>
          <w:rFonts w:ascii="Times New Roman" w:hAnsi="Times New Roman" w:cs="Times New Roman"/>
          <w:sz w:val="20"/>
          <w:szCs w:val="20"/>
        </w:rPr>
        <w:t xml:space="preserve"> for Type-1 random access procedure</w:t>
      </w:r>
      <w:r w:rsidRPr="009C5BFC">
        <w:rPr>
          <w:rFonts w:ascii="Times New Roman" w:hAnsi="Times New Roman" w:cs="Times New Roman"/>
          <w:sz w:val="20"/>
          <w:szCs w:val="20"/>
        </w:rPr>
        <w:t>.</w:t>
      </w:r>
    </w:p>
    <w:p w14:paraId="0D0AA110" w14:textId="77777777" w:rsidR="008C04A7" w:rsidRPr="009C5BFC" w:rsidRDefault="008C04A7" w:rsidP="008C04A7">
      <w:pPr>
        <w:spacing w:after="240"/>
        <w:rPr>
          <w:rFonts w:ascii="Times New Roman" w:hAnsi="Times New Roman" w:cs="Times New Roman"/>
          <w:sz w:val="20"/>
          <w:szCs w:val="20"/>
        </w:rPr>
      </w:pPr>
      <w:r w:rsidRPr="009C5BFC">
        <w:rPr>
          <w:rFonts w:ascii="Times New Roman" w:hAnsi="Times New Roman" w:cs="Times New Roman"/>
          <w:color w:val="000000"/>
          <w:sz w:val="20"/>
          <w:szCs w:val="20"/>
        </w:rPr>
        <w:t xml:space="preserve">For link recovery, a UE is provided </w:t>
      </w:r>
      <m:oMath>
        <m:r>
          <w:rPr>
            <w:rFonts w:ascii="Cambria Math" w:hAnsi="Cambria Math" w:cs="Times New Roman"/>
            <w:sz w:val="20"/>
            <w:szCs w:val="20"/>
          </w:rPr>
          <m:t>N</m:t>
        </m:r>
      </m:oMath>
      <w:r w:rsidRPr="009C5BFC">
        <w:rPr>
          <w:rFonts w:ascii="Times New Roman" w:hAnsi="Times New Roman" w:cs="Times New Roman"/>
          <w:color w:val="000000"/>
          <w:sz w:val="20"/>
          <w:szCs w:val="20"/>
        </w:rPr>
        <w:t xml:space="preserve">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color w:val="000000"/>
          <w:sz w:val="20"/>
          <w:szCs w:val="20"/>
        </w:rPr>
        <w:t xml:space="preserve"> associated with one PRACH occasion by </w:t>
      </w:r>
      <w:proofErr w:type="spellStart"/>
      <w:r w:rsidRPr="009C5BFC">
        <w:rPr>
          <w:rFonts w:ascii="Times New Roman" w:hAnsi="Times New Roman" w:cs="Times New Roman"/>
          <w:i/>
          <w:iCs/>
          <w:color w:val="000000"/>
          <w:sz w:val="20"/>
          <w:szCs w:val="20"/>
        </w:rPr>
        <w:t>ssb</w:t>
      </w:r>
      <w:proofErr w:type="spellEnd"/>
      <w:r w:rsidRPr="009C5BFC">
        <w:rPr>
          <w:rFonts w:ascii="Times New Roman" w:hAnsi="Times New Roman" w:cs="Times New Roman"/>
          <w:i/>
          <w:iCs/>
          <w:color w:val="000000"/>
          <w:sz w:val="20"/>
          <w:szCs w:val="20"/>
        </w:rPr>
        <w:t>-</w:t>
      </w:r>
      <w:proofErr w:type="spellStart"/>
      <w:r w:rsidRPr="009C5BFC">
        <w:rPr>
          <w:rFonts w:ascii="Times New Roman" w:hAnsi="Times New Roman" w:cs="Times New Roman"/>
          <w:i/>
          <w:iCs/>
          <w:color w:val="000000"/>
          <w:sz w:val="20"/>
          <w:szCs w:val="20"/>
        </w:rPr>
        <w:t>perRACH</w:t>
      </w:r>
      <w:proofErr w:type="spellEnd"/>
      <w:r w:rsidRPr="009C5BFC">
        <w:rPr>
          <w:rFonts w:ascii="Times New Roman" w:hAnsi="Times New Roman" w:cs="Times New Roman"/>
          <w:i/>
          <w:iCs/>
          <w:color w:val="000000"/>
          <w:sz w:val="20"/>
          <w:szCs w:val="20"/>
        </w:rPr>
        <w:t>-Occasion</w:t>
      </w:r>
      <w:r w:rsidRPr="009C5BFC">
        <w:rPr>
          <w:rFonts w:ascii="Times New Roman" w:hAnsi="Times New Roman" w:cs="Times New Roman"/>
          <w:color w:val="000000"/>
          <w:sz w:val="20"/>
          <w:szCs w:val="20"/>
        </w:rPr>
        <w:t xml:space="preserve"> in </w:t>
      </w:r>
      <w:proofErr w:type="spellStart"/>
      <w:r w:rsidRPr="009C5BFC">
        <w:rPr>
          <w:rFonts w:ascii="Times New Roman" w:hAnsi="Times New Roman" w:cs="Times New Roman"/>
          <w:i/>
          <w:iCs/>
          <w:color w:val="000000"/>
          <w:sz w:val="20"/>
          <w:szCs w:val="20"/>
        </w:rPr>
        <w:t>BeamFailureRecoveryConfig</w:t>
      </w:r>
      <w:proofErr w:type="spellEnd"/>
      <w:r w:rsidRPr="009C5BFC">
        <w:rPr>
          <w:rFonts w:ascii="Times New Roman" w:hAnsi="Times New Roman" w:cs="Times New Roman"/>
          <w:color w:val="000000"/>
          <w:sz w:val="20"/>
          <w:szCs w:val="20"/>
        </w:rPr>
        <w:t xml:space="preserve">. </w:t>
      </w:r>
      <w:r w:rsidRPr="009C5BFC">
        <w:rPr>
          <w:rFonts w:ascii="Times New Roman" w:hAnsi="Times New Roman" w:cs="Times New Roman"/>
          <w:sz w:val="20"/>
          <w:szCs w:val="20"/>
        </w:rPr>
        <w:t xml:space="preserve">For a dedicated RACH configuration provided by </w:t>
      </w:r>
      <w:r w:rsidRPr="009C5BFC">
        <w:rPr>
          <w:rFonts w:ascii="Times New Roman" w:hAnsi="Times New Roman" w:cs="Times New Roman"/>
          <w:i/>
          <w:sz w:val="20"/>
          <w:szCs w:val="20"/>
        </w:rPr>
        <w:t>RACH-</w:t>
      </w:r>
      <w:proofErr w:type="spellStart"/>
      <w:r w:rsidRPr="009C5BFC">
        <w:rPr>
          <w:rFonts w:ascii="Times New Roman" w:hAnsi="Times New Roman" w:cs="Times New Roman"/>
          <w:i/>
          <w:sz w:val="20"/>
          <w:szCs w:val="20"/>
        </w:rPr>
        <w:t>ConfigDedicated</w:t>
      </w:r>
      <w:proofErr w:type="spellEnd"/>
      <w:r w:rsidRPr="009C5BFC">
        <w:rPr>
          <w:rFonts w:ascii="Times New Roman" w:hAnsi="Times New Roman" w:cs="Times New Roman"/>
          <w:sz w:val="20"/>
          <w:szCs w:val="20"/>
        </w:rPr>
        <w:t xml:space="preserve">, if </w:t>
      </w:r>
      <w:proofErr w:type="spellStart"/>
      <w:r w:rsidRPr="009C5BFC">
        <w:rPr>
          <w:rFonts w:ascii="Times New Roman" w:hAnsi="Times New Roman" w:cs="Times New Roman"/>
          <w:i/>
          <w:sz w:val="20"/>
          <w:szCs w:val="20"/>
        </w:rPr>
        <w:t>cfra</w:t>
      </w:r>
      <w:proofErr w:type="spellEnd"/>
      <w:r w:rsidRPr="009C5BFC">
        <w:rPr>
          <w:rFonts w:ascii="Times New Roman" w:hAnsi="Times New Roman" w:cs="Times New Roman"/>
          <w:sz w:val="20"/>
          <w:szCs w:val="20"/>
        </w:rPr>
        <w:t xml:space="preserve"> is provided, </w:t>
      </w:r>
      <w:r w:rsidRPr="009C5BFC">
        <w:rPr>
          <w:rFonts w:ascii="Times New Roman" w:hAnsi="Times New Roman" w:cs="Times New Roman"/>
          <w:color w:val="000000"/>
          <w:sz w:val="20"/>
          <w:szCs w:val="20"/>
        </w:rPr>
        <w:t xml:space="preserve">a UE is provided </w:t>
      </w:r>
      <m:oMath>
        <m:r>
          <w:rPr>
            <w:rFonts w:ascii="Cambria Math" w:hAnsi="Cambria Math" w:cs="Times New Roman"/>
            <w:sz w:val="20"/>
            <w:szCs w:val="20"/>
          </w:rPr>
          <m:t>N</m:t>
        </m:r>
      </m:oMath>
      <w:r w:rsidRPr="009C5BFC">
        <w:rPr>
          <w:rFonts w:ascii="Times New Roman" w:hAnsi="Times New Roman" w:cs="Times New Roman"/>
          <w:color w:val="000000"/>
          <w:sz w:val="20"/>
          <w:szCs w:val="20"/>
        </w:rPr>
        <w:t xml:space="preserve">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color w:val="000000"/>
          <w:sz w:val="20"/>
          <w:szCs w:val="20"/>
        </w:rPr>
        <w:t xml:space="preserve"> associated with one PRACH occasion by </w:t>
      </w:r>
      <w:proofErr w:type="spellStart"/>
      <w:r w:rsidRPr="009C5BFC">
        <w:rPr>
          <w:rFonts w:ascii="Times New Roman" w:hAnsi="Times New Roman" w:cs="Times New Roman"/>
          <w:i/>
          <w:iCs/>
          <w:color w:val="000000"/>
          <w:sz w:val="20"/>
          <w:szCs w:val="20"/>
        </w:rPr>
        <w:t>ssb</w:t>
      </w:r>
      <w:proofErr w:type="spellEnd"/>
      <w:r w:rsidRPr="009C5BFC">
        <w:rPr>
          <w:rFonts w:ascii="Times New Roman" w:hAnsi="Times New Roman" w:cs="Times New Roman"/>
          <w:i/>
          <w:iCs/>
          <w:color w:val="000000"/>
          <w:sz w:val="20"/>
          <w:szCs w:val="20"/>
        </w:rPr>
        <w:t>-</w:t>
      </w:r>
      <w:proofErr w:type="spellStart"/>
      <w:r w:rsidRPr="009C5BFC">
        <w:rPr>
          <w:rFonts w:ascii="Times New Roman" w:hAnsi="Times New Roman" w:cs="Times New Roman"/>
          <w:i/>
          <w:iCs/>
          <w:color w:val="000000"/>
          <w:sz w:val="20"/>
          <w:szCs w:val="20"/>
        </w:rPr>
        <w:t>perRACH</w:t>
      </w:r>
      <w:proofErr w:type="spellEnd"/>
      <w:r w:rsidRPr="009C5BFC">
        <w:rPr>
          <w:rFonts w:ascii="Times New Roman" w:hAnsi="Times New Roman" w:cs="Times New Roman"/>
          <w:i/>
          <w:iCs/>
          <w:color w:val="000000"/>
          <w:sz w:val="20"/>
          <w:szCs w:val="20"/>
        </w:rPr>
        <w:t>-Occasion</w:t>
      </w:r>
      <w:r w:rsidRPr="009C5BFC">
        <w:rPr>
          <w:rFonts w:ascii="Times New Roman" w:hAnsi="Times New Roman" w:cs="Times New Roman"/>
          <w:color w:val="000000"/>
          <w:sz w:val="20"/>
          <w:szCs w:val="20"/>
        </w:rPr>
        <w:t xml:space="preserve"> in </w:t>
      </w:r>
      <w:r w:rsidRPr="009C5BFC">
        <w:rPr>
          <w:rFonts w:ascii="Times New Roman" w:hAnsi="Times New Roman" w:cs="Times New Roman"/>
          <w:i/>
          <w:iCs/>
          <w:color w:val="000000"/>
          <w:sz w:val="20"/>
          <w:szCs w:val="20"/>
        </w:rPr>
        <w:t>occasions</w:t>
      </w:r>
      <w:r w:rsidRPr="009C5BFC">
        <w:rPr>
          <w:rFonts w:ascii="Times New Roman" w:hAnsi="Times New Roman" w:cs="Times New Roman"/>
          <w:color w:val="000000"/>
          <w:sz w:val="20"/>
          <w:szCs w:val="20"/>
        </w:rPr>
        <w:t xml:space="preserve">. If </w:t>
      </w:r>
      <m:oMath>
        <m:r>
          <w:rPr>
            <w:rFonts w:ascii="Cambria Math" w:hAnsi="Cambria Math" w:cs="Times New Roman"/>
            <w:sz w:val="20"/>
            <w:szCs w:val="20"/>
          </w:rPr>
          <m:t>N&lt;1</m:t>
        </m:r>
      </m:oMath>
      <w:r w:rsidRPr="009C5BFC">
        <w:rPr>
          <w:rFonts w:ascii="Times New Roman" w:hAnsi="Times New Roman" w:cs="Times New Roman"/>
          <w:color w:val="000000"/>
          <w:sz w:val="20"/>
          <w:szCs w:val="20"/>
        </w:rPr>
        <w:t xml:space="preserve">, one SS/PBCH block </w:t>
      </w:r>
      <w:r w:rsidRPr="004C0921">
        <w:rPr>
          <w:rFonts w:ascii="Times New Roman" w:hAnsi="Times New Roman" w:cs="Times New Roman"/>
          <w:color w:val="FF0000"/>
          <w:sz w:val="20"/>
          <w:szCs w:val="20"/>
        </w:rPr>
        <w:t>index</w:t>
      </w:r>
      <w:r w:rsidRPr="009C5BFC">
        <w:rPr>
          <w:rFonts w:ascii="Times New Roman" w:hAnsi="Times New Roman" w:cs="Times New Roman"/>
          <w:color w:val="000000"/>
          <w:sz w:val="20"/>
          <w:szCs w:val="20"/>
        </w:rPr>
        <w:t xml:space="preserve"> is mapped to </w:t>
      </w:r>
      <m:oMath>
        <m:f>
          <m:fPr>
            <m:type m:val="lin"/>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N</m:t>
            </m:r>
          </m:den>
        </m:f>
      </m:oMath>
      <w:r w:rsidRPr="009C5BFC">
        <w:rPr>
          <w:rFonts w:ascii="Times New Roman" w:hAnsi="Times New Roman" w:cs="Times New Roman"/>
          <w:color w:val="000000"/>
          <w:sz w:val="20"/>
          <w:szCs w:val="20"/>
        </w:rPr>
        <w:t xml:space="preserve"> consecutive valid PRACH</w:t>
      </w:r>
      <w:r w:rsidRPr="009C5BFC">
        <w:rPr>
          <w:rFonts w:ascii="Times New Roman" w:hAnsi="Times New Roman" w:cs="Times New Roman"/>
          <w:sz w:val="20"/>
          <w:szCs w:val="20"/>
        </w:rPr>
        <w:t xml:space="preserve"> occasions. If </w:t>
      </w:r>
      <m:oMath>
        <m:r>
          <w:rPr>
            <w:rFonts w:ascii="Cambria Math" w:hAnsi="Cambria Math" w:cs="Times New Roman"/>
            <w:sz w:val="20"/>
            <w:szCs w:val="20"/>
          </w:rPr>
          <m:t>N≥1</m:t>
        </m:r>
      </m:oMath>
      <w:r w:rsidRPr="009C5BFC">
        <w:rPr>
          <w:rFonts w:ascii="Times New Roman" w:hAnsi="Times New Roman" w:cs="Times New Roman"/>
          <w:sz w:val="20"/>
          <w:szCs w:val="20"/>
        </w:rPr>
        <w:t xml:space="preserve">, all consecutive </w:t>
      </w:r>
      <m:oMath>
        <m:r>
          <w:rPr>
            <w:rFonts w:ascii="Cambria Math" w:hAnsi="Cambria Math" w:cs="Times New Roman"/>
            <w:sz w:val="20"/>
            <w:szCs w:val="20"/>
          </w:rPr>
          <m:t>N</m:t>
        </m:r>
      </m:oMath>
      <w:r w:rsidRPr="009C5BFC">
        <w:rPr>
          <w:rFonts w:ascii="Times New Roman" w:hAnsi="Times New Roman" w:cs="Times New Roman"/>
          <w:sz w:val="20"/>
          <w:szCs w:val="20"/>
        </w:rPr>
        <w:t xml:space="preserve"> SS/PBCH block</w:t>
      </w:r>
      <w:r w:rsidRPr="004C0921">
        <w:rPr>
          <w:rFonts w:ascii="Times New Roman" w:hAnsi="Times New Roman" w:cs="Times New Roman"/>
          <w:color w:val="FF0000"/>
          <w:sz w:val="20"/>
          <w:szCs w:val="20"/>
        </w:rPr>
        <w:t>s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are associated with one PRACH occasion. </w:t>
      </w:r>
    </w:p>
    <w:p w14:paraId="6BD19B15" w14:textId="77777777" w:rsidR="008C04A7" w:rsidRPr="009C5BFC" w:rsidRDefault="008C04A7" w:rsidP="008C04A7">
      <w:pPr>
        <w:spacing w:after="240"/>
        <w:rPr>
          <w:rFonts w:ascii="Times New Roman" w:hAnsi="Times New Roman" w:cs="Times New Roman"/>
          <w:sz w:val="20"/>
          <w:szCs w:val="20"/>
        </w:rPr>
      </w:pPr>
      <w:r w:rsidRPr="009C5BFC">
        <w:rPr>
          <w:rFonts w:ascii="Times New Roman" w:hAnsi="Times New Roman" w:cs="Times New Roman"/>
          <w:sz w:val="20"/>
          <w:szCs w:val="20"/>
        </w:rPr>
        <w:t xml:space="preserve">SS/PBCH block indexes </w:t>
      </w:r>
      <w:r w:rsidRPr="009C5BFC">
        <w:rPr>
          <w:rFonts w:ascii="Times New Roman" w:hAnsi="Times New Roman" w:cs="Times New Roman"/>
          <w:sz w:val="20"/>
          <w:szCs w:val="20"/>
          <w:lang w:eastAsia="zh-CN"/>
        </w:rPr>
        <w:t>provided by</w:t>
      </w:r>
      <w:r w:rsidRPr="009C5BFC">
        <w:rPr>
          <w:rFonts w:ascii="Times New Roman" w:hAnsi="Times New Roman" w:cs="Times New Roman"/>
          <w:sz w:val="20"/>
          <w:szCs w:val="20"/>
        </w:rPr>
        <w:t xml:space="preserve"> </w:t>
      </w:r>
      <w:proofErr w:type="spellStart"/>
      <w:r w:rsidRPr="009C5BFC">
        <w:rPr>
          <w:rFonts w:ascii="Times New Roman" w:hAnsi="Times New Roman" w:cs="Times New Roman"/>
          <w:i/>
          <w:sz w:val="20"/>
          <w:szCs w:val="20"/>
        </w:rPr>
        <w:t>ssb-PositionsInBurst</w:t>
      </w:r>
      <w:proofErr w:type="spellEnd"/>
      <w:r w:rsidRPr="009C5BFC">
        <w:rPr>
          <w:rFonts w:ascii="Times New Roman" w:hAnsi="Times New Roman" w:cs="Times New Roman"/>
          <w:sz w:val="20"/>
          <w:szCs w:val="20"/>
        </w:rPr>
        <w:t xml:space="preserve"> in </w:t>
      </w:r>
      <w:r w:rsidRPr="009C5BFC">
        <w:rPr>
          <w:rFonts w:ascii="Times New Roman" w:hAnsi="Times New Roman" w:cs="Times New Roman"/>
          <w:i/>
          <w:sz w:val="20"/>
          <w:szCs w:val="20"/>
        </w:rPr>
        <w:t>S</w:t>
      </w:r>
      <w:r w:rsidRPr="009C5BFC">
        <w:rPr>
          <w:rFonts w:ascii="Times New Roman" w:hAnsi="Times New Roman" w:cs="Times New Roman"/>
          <w:i/>
          <w:sz w:val="20"/>
          <w:szCs w:val="20"/>
          <w:lang w:eastAsia="zh-CN"/>
        </w:rPr>
        <w:t>IB</w:t>
      </w:r>
      <w:r w:rsidRPr="009C5BFC">
        <w:rPr>
          <w:rFonts w:ascii="Times New Roman" w:hAnsi="Times New Roman" w:cs="Times New Roman"/>
          <w:i/>
          <w:sz w:val="20"/>
          <w:szCs w:val="20"/>
        </w:rPr>
        <w:t>1</w:t>
      </w:r>
      <w:r w:rsidRPr="009C5BFC">
        <w:rPr>
          <w:rFonts w:ascii="Times New Roman" w:hAnsi="Times New Roman" w:cs="Times New Roman"/>
          <w:sz w:val="20"/>
          <w:szCs w:val="20"/>
        </w:rPr>
        <w:t xml:space="preserve"> or in </w:t>
      </w:r>
      <w:proofErr w:type="spellStart"/>
      <w:r w:rsidRPr="009C5BFC">
        <w:rPr>
          <w:rFonts w:ascii="Times New Roman" w:hAnsi="Times New Roman" w:cs="Times New Roman"/>
          <w:i/>
          <w:sz w:val="20"/>
          <w:szCs w:val="20"/>
        </w:rPr>
        <w:t>ServingCellConfigCommon</w:t>
      </w:r>
      <w:proofErr w:type="spellEnd"/>
      <w:r w:rsidRPr="009C5BFC">
        <w:rPr>
          <w:rFonts w:ascii="Times New Roman" w:hAnsi="Times New Roman" w:cs="Times New Roman"/>
          <w:sz w:val="20"/>
          <w:szCs w:val="20"/>
        </w:rPr>
        <w:t xml:space="preserve"> are mapped to valid PRACH occasions in the following order where the parameters are described in [4, TS 38.211].</w:t>
      </w:r>
    </w:p>
    <w:p w14:paraId="63375E47" w14:textId="77777777" w:rsidR="008C04A7" w:rsidRPr="009C5BFC" w:rsidRDefault="008C04A7" w:rsidP="008C04A7">
      <w:pPr>
        <w:pStyle w:val="B1"/>
        <w:spacing w:after="240"/>
        <w:rPr>
          <w:rFonts w:cs="Times New Roman"/>
          <w:sz w:val="20"/>
          <w:szCs w:val="20"/>
        </w:rPr>
      </w:pPr>
      <w:r w:rsidRPr="009C5BFC">
        <w:rPr>
          <w:rFonts w:cs="Times New Roman"/>
          <w:sz w:val="20"/>
          <w:szCs w:val="20"/>
        </w:rPr>
        <w:t>-</w:t>
      </w:r>
      <w:r w:rsidRPr="009C5BFC">
        <w:rPr>
          <w:rFonts w:cs="Times New Roman"/>
          <w:sz w:val="20"/>
          <w:szCs w:val="20"/>
        </w:rPr>
        <w:tab/>
        <w:t>First, in increasing order of preamble indexes within a single PRACH occasion</w:t>
      </w:r>
    </w:p>
    <w:p w14:paraId="5E28A820" w14:textId="77777777" w:rsidR="008C04A7" w:rsidRPr="009C5BFC" w:rsidRDefault="008C04A7" w:rsidP="008C04A7">
      <w:pPr>
        <w:pStyle w:val="B1"/>
        <w:spacing w:after="240"/>
        <w:rPr>
          <w:rFonts w:cs="Times New Roman"/>
          <w:sz w:val="20"/>
          <w:szCs w:val="20"/>
        </w:rPr>
      </w:pPr>
      <w:r w:rsidRPr="009C5BFC">
        <w:rPr>
          <w:rFonts w:cs="Times New Roman"/>
          <w:sz w:val="20"/>
          <w:szCs w:val="20"/>
        </w:rPr>
        <w:t>-</w:t>
      </w:r>
      <w:r w:rsidRPr="009C5BFC">
        <w:rPr>
          <w:rFonts w:cs="Times New Roman"/>
          <w:sz w:val="20"/>
          <w:szCs w:val="20"/>
        </w:rPr>
        <w:tab/>
        <w:t>Second, in increasing order of frequency resource indexes for frequency multiplexed PRACH occasions</w:t>
      </w:r>
    </w:p>
    <w:p w14:paraId="58C6C7C3" w14:textId="77777777" w:rsidR="008C04A7" w:rsidRPr="009C5BFC" w:rsidRDefault="008C04A7" w:rsidP="008C04A7">
      <w:pPr>
        <w:pStyle w:val="B1"/>
        <w:spacing w:after="240"/>
        <w:rPr>
          <w:rFonts w:cs="Times New Roman"/>
          <w:sz w:val="20"/>
          <w:szCs w:val="20"/>
        </w:rPr>
      </w:pPr>
      <w:r w:rsidRPr="009C5BFC">
        <w:rPr>
          <w:rFonts w:cs="Times New Roman"/>
          <w:sz w:val="20"/>
          <w:szCs w:val="20"/>
        </w:rPr>
        <w:t>-</w:t>
      </w:r>
      <w:r w:rsidRPr="009C5BFC">
        <w:rPr>
          <w:rFonts w:cs="Times New Roman"/>
          <w:sz w:val="20"/>
          <w:szCs w:val="20"/>
        </w:rPr>
        <w:tab/>
        <w:t>Third, in increasing order of time resource indexes for time multiplexed PRACH occasions within a PRACH slot</w:t>
      </w:r>
    </w:p>
    <w:p w14:paraId="5CEA7282" w14:textId="77777777" w:rsidR="008C04A7" w:rsidRPr="009C5BFC" w:rsidRDefault="008C04A7" w:rsidP="008C04A7">
      <w:pPr>
        <w:pStyle w:val="B1"/>
        <w:spacing w:after="240"/>
        <w:rPr>
          <w:rFonts w:cs="Times New Roman"/>
          <w:sz w:val="20"/>
          <w:szCs w:val="20"/>
        </w:rPr>
      </w:pPr>
      <w:r w:rsidRPr="009C5BFC">
        <w:rPr>
          <w:rFonts w:cs="Times New Roman"/>
          <w:sz w:val="20"/>
          <w:szCs w:val="20"/>
        </w:rPr>
        <w:t>-</w:t>
      </w:r>
      <w:r w:rsidRPr="009C5BFC">
        <w:rPr>
          <w:rFonts w:cs="Times New Roman"/>
          <w:sz w:val="20"/>
          <w:szCs w:val="20"/>
        </w:rPr>
        <w:tab/>
        <w:t>Fourth, in increasing order of indexes for PRACH slots</w:t>
      </w:r>
    </w:p>
    <w:p w14:paraId="2937C9EF" w14:textId="77777777" w:rsidR="008C04A7" w:rsidRPr="00290A61" w:rsidRDefault="008C04A7" w:rsidP="008C04A7">
      <w:pPr>
        <w:rPr>
          <w:rFonts w:ascii="Times New Roman" w:hAnsi="Times New Roman" w:cs="Times New Roman"/>
          <w:sz w:val="20"/>
          <w:szCs w:val="20"/>
        </w:rPr>
      </w:pPr>
      <w:r w:rsidRPr="009C5BFC">
        <w:rPr>
          <w:rFonts w:ascii="Times New Roman" w:hAnsi="Times New Roman" w:cs="Times New Roman"/>
          <w:sz w:val="20"/>
          <w:szCs w:val="20"/>
        </w:rPr>
        <w:t>An association period, starting from frame 0, for mapping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to PRACH occasions is the smallest value in the set </w:t>
      </w:r>
      <w:r w:rsidRPr="009C5BFC">
        <w:rPr>
          <w:rFonts w:ascii="Times New Roman" w:hAnsi="Times New Roman" w:cs="Times New Roman"/>
          <w:sz w:val="20"/>
          <w:szCs w:val="20"/>
          <w:lang w:eastAsia="zh-CN"/>
        </w:rPr>
        <w:t>determined by the PRACH configuration period according Table</w:t>
      </w:r>
      <w:r w:rsidRPr="009C5BFC">
        <w:rPr>
          <w:rFonts w:ascii="Times New Roman" w:hAnsi="Times New Roman" w:cs="Times New Roman"/>
          <w:sz w:val="20"/>
          <w:szCs w:val="20"/>
        </w:rPr>
        <w:t xml:space="preserve"> 8.1-1 such that </w:t>
      </w:r>
      <w:r w:rsidRPr="0053281E">
        <w:rPr>
          <w:rFonts w:ascii="Times New Roman" w:hAnsi="Times New Roman" w:cs="Times New Roman"/>
          <w:noProof/>
          <w:position w:val="-10"/>
          <w:sz w:val="20"/>
          <w:szCs w:val="20"/>
        </w:rPr>
        <w:drawing>
          <wp:inline distT="0" distB="0" distL="0" distR="0" wp14:anchorId="581446E3" wp14:editId="1CF05C6A">
            <wp:extent cx="274320" cy="220980"/>
            <wp:effectExtent l="0" t="0" r="0" b="762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 cy="220980"/>
                    </a:xfrm>
                    <a:prstGeom prst="rect">
                      <a:avLst/>
                    </a:prstGeom>
                    <a:noFill/>
                    <a:ln>
                      <a:noFill/>
                    </a:ln>
                  </pic:spPr>
                </pic:pic>
              </a:graphicData>
            </a:graphic>
          </wp:inline>
        </w:drawing>
      </w:r>
      <w:r w:rsidRPr="009C5BFC">
        <w:rPr>
          <w:rFonts w:ascii="Times New Roman" w:hAnsi="Times New Roman" w:cs="Times New Roman"/>
          <w:sz w:val="20"/>
          <w:szCs w:val="20"/>
        </w:rPr>
        <w:t xml:space="preserve">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are mapped at least once to the PRACH occasions within the association period, where a UE obtains </w:t>
      </w:r>
      <w:r w:rsidRPr="0053281E">
        <w:rPr>
          <w:rFonts w:ascii="Times New Roman" w:hAnsi="Times New Roman" w:cs="Times New Roman"/>
          <w:noProof/>
          <w:position w:val="-10"/>
          <w:sz w:val="20"/>
          <w:szCs w:val="20"/>
        </w:rPr>
        <w:drawing>
          <wp:inline distT="0" distB="0" distL="0" distR="0" wp14:anchorId="4C162234" wp14:editId="082AFA9D">
            <wp:extent cx="274320" cy="220980"/>
            <wp:effectExtent l="0" t="0" r="0" b="762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 cy="220980"/>
                    </a:xfrm>
                    <a:prstGeom prst="rect">
                      <a:avLst/>
                    </a:prstGeom>
                    <a:noFill/>
                    <a:ln>
                      <a:noFill/>
                    </a:ln>
                  </pic:spPr>
                </pic:pic>
              </a:graphicData>
            </a:graphic>
          </wp:inline>
        </w:drawing>
      </w:r>
      <w:r w:rsidRPr="009C5BFC">
        <w:rPr>
          <w:rFonts w:ascii="Times New Roman" w:hAnsi="Times New Roman" w:cs="Times New Roman"/>
          <w:sz w:val="20"/>
          <w:szCs w:val="20"/>
        </w:rPr>
        <w:t xml:space="preserve"> from the value of </w:t>
      </w:r>
      <w:proofErr w:type="spellStart"/>
      <w:r w:rsidRPr="009C5BFC">
        <w:rPr>
          <w:rFonts w:ascii="Times New Roman" w:hAnsi="Times New Roman" w:cs="Times New Roman"/>
          <w:i/>
          <w:sz w:val="20"/>
          <w:szCs w:val="20"/>
        </w:rPr>
        <w:t>ssb-PositionsInBurst</w:t>
      </w:r>
      <w:proofErr w:type="spellEnd"/>
      <w:r w:rsidRPr="009C5BFC">
        <w:rPr>
          <w:rFonts w:ascii="Times New Roman" w:hAnsi="Times New Roman" w:cs="Times New Roman"/>
          <w:sz w:val="20"/>
          <w:szCs w:val="20"/>
        </w:rPr>
        <w:t xml:space="preserve"> in </w:t>
      </w:r>
      <w:r w:rsidRPr="009C5BFC">
        <w:rPr>
          <w:rFonts w:ascii="Times New Roman" w:hAnsi="Times New Roman" w:cs="Times New Roman"/>
          <w:i/>
          <w:sz w:val="20"/>
          <w:szCs w:val="20"/>
        </w:rPr>
        <w:t>S</w:t>
      </w:r>
      <w:r w:rsidRPr="009C5BFC">
        <w:rPr>
          <w:rFonts w:ascii="Times New Roman" w:hAnsi="Times New Roman" w:cs="Times New Roman"/>
          <w:i/>
          <w:sz w:val="20"/>
          <w:szCs w:val="20"/>
          <w:lang w:eastAsia="zh-CN"/>
        </w:rPr>
        <w:t>IB</w:t>
      </w:r>
      <w:r w:rsidRPr="009C5BFC">
        <w:rPr>
          <w:rFonts w:ascii="Times New Roman" w:hAnsi="Times New Roman" w:cs="Times New Roman"/>
          <w:i/>
          <w:sz w:val="20"/>
          <w:szCs w:val="20"/>
        </w:rPr>
        <w:t>1</w:t>
      </w:r>
      <w:r w:rsidRPr="009C5BFC">
        <w:rPr>
          <w:rFonts w:ascii="Times New Roman" w:hAnsi="Times New Roman" w:cs="Times New Roman"/>
          <w:sz w:val="20"/>
          <w:szCs w:val="20"/>
        </w:rPr>
        <w:t xml:space="preserve"> or in </w:t>
      </w:r>
      <w:proofErr w:type="spellStart"/>
      <w:r w:rsidRPr="009C5BFC">
        <w:rPr>
          <w:rFonts w:ascii="Times New Roman" w:hAnsi="Times New Roman" w:cs="Times New Roman"/>
          <w:i/>
          <w:sz w:val="20"/>
          <w:szCs w:val="20"/>
        </w:rPr>
        <w:t>ServingCellConfigCommon</w:t>
      </w:r>
      <w:proofErr w:type="spellEnd"/>
      <w:r w:rsidRPr="009C5BFC">
        <w:rPr>
          <w:rFonts w:ascii="Times New Roman" w:hAnsi="Times New Roman" w:cs="Times New Roman"/>
          <w:sz w:val="20"/>
          <w:szCs w:val="20"/>
        </w:rPr>
        <w:t>. If after an integer number of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to PRACH occasions mapping cycles within the association period there is a set of PRACH occasions </w:t>
      </w:r>
      <w:r w:rsidRPr="009C5BFC">
        <w:rPr>
          <w:rFonts w:ascii="Times New Roman" w:hAnsi="Times New Roman" w:cs="Times New Roman"/>
          <w:color w:val="000000" w:themeColor="text1"/>
          <w:sz w:val="20"/>
          <w:szCs w:val="20"/>
          <w:lang w:eastAsia="zh-CN"/>
        </w:rPr>
        <w:t>or PRACH preambles</w:t>
      </w:r>
      <w:r w:rsidRPr="009C5BFC">
        <w:rPr>
          <w:rFonts w:ascii="Times New Roman" w:hAnsi="Times New Roman" w:cs="Times New Roman"/>
          <w:sz w:val="20"/>
          <w:szCs w:val="20"/>
        </w:rPr>
        <w:t xml:space="preserve"> that are not mapped to </w:t>
      </w:r>
      <w:r w:rsidRPr="0053281E">
        <w:rPr>
          <w:rFonts w:ascii="Times New Roman" w:hAnsi="Times New Roman" w:cs="Times New Roman"/>
          <w:noProof/>
          <w:position w:val="-10"/>
          <w:sz w:val="20"/>
          <w:szCs w:val="20"/>
        </w:rPr>
        <w:drawing>
          <wp:inline distT="0" distB="0" distL="0" distR="0" wp14:anchorId="73DD04B7" wp14:editId="010ADCB7">
            <wp:extent cx="274320" cy="220980"/>
            <wp:effectExtent l="0" t="0" r="0" b="762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 cy="220980"/>
                    </a:xfrm>
                    <a:prstGeom prst="rect">
                      <a:avLst/>
                    </a:prstGeom>
                    <a:noFill/>
                    <a:ln>
                      <a:noFill/>
                    </a:ln>
                  </pic:spPr>
                </pic:pic>
              </a:graphicData>
            </a:graphic>
          </wp:inline>
        </w:drawing>
      </w:r>
      <w:r w:rsidRPr="009C5BFC">
        <w:rPr>
          <w:rFonts w:ascii="Times New Roman" w:hAnsi="Times New Roman" w:cs="Times New Roman"/>
          <w:sz w:val="20"/>
          <w:szCs w:val="20"/>
        </w:rPr>
        <w:t xml:space="preserve">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no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are mapped to the set of PRACH occasions</w:t>
      </w:r>
      <w:r w:rsidRPr="009C5BFC">
        <w:rPr>
          <w:rFonts w:ascii="Times New Roman" w:hAnsi="Times New Roman" w:cs="Times New Roman"/>
          <w:color w:val="000000" w:themeColor="text1"/>
          <w:sz w:val="20"/>
          <w:szCs w:val="20"/>
          <w:lang w:eastAsia="zh-CN"/>
        </w:rPr>
        <w:t xml:space="preserve"> or PRACH preambles</w:t>
      </w:r>
      <w:r w:rsidRPr="009C5BFC">
        <w:rPr>
          <w:rFonts w:ascii="Times New Roman" w:hAnsi="Times New Roman" w:cs="Times New Roman"/>
          <w:sz w:val="20"/>
          <w:szCs w:val="20"/>
        </w:rPr>
        <w:t>. An association pattern period includes one or more association periods and is determined so that a pattern between PRACH occasions and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repeats at most every 160 msec. PRACH occasions not associated with SS/PBCH block</w:t>
      </w:r>
      <w:r w:rsidRPr="004C0921">
        <w:rPr>
          <w:rFonts w:ascii="Times New Roman" w:hAnsi="Times New Roman" w:cs="Times New Roman"/>
          <w:strike/>
          <w:color w:val="FF0000"/>
          <w:sz w:val="20"/>
          <w:szCs w:val="20"/>
        </w:rPr>
        <w:t>s</w:t>
      </w:r>
      <w:r w:rsidRPr="004C0921">
        <w:rPr>
          <w:rFonts w:ascii="Times New Roman" w:hAnsi="Times New Roman" w:cs="Times New Roman"/>
          <w:color w:val="FF0000"/>
          <w:sz w:val="20"/>
          <w:szCs w:val="20"/>
        </w:rPr>
        <w:t xml:space="preserve"> ind</w:t>
      </w:r>
      <w:r w:rsidRPr="009C5BFC">
        <w:rPr>
          <w:rFonts w:ascii="Times New Roman" w:hAnsi="Times New Roman" w:cs="Times New Roman"/>
          <w:color w:val="FF0000"/>
          <w:sz w:val="20"/>
          <w:szCs w:val="20"/>
        </w:rPr>
        <w:t>ex</w:t>
      </w:r>
      <w:r w:rsidRPr="004C0921">
        <w:rPr>
          <w:rFonts w:ascii="Times New Roman" w:hAnsi="Times New Roman" w:cs="Times New Roman"/>
          <w:color w:val="FF0000"/>
          <w:sz w:val="20"/>
          <w:szCs w:val="20"/>
        </w:rPr>
        <w:t>es</w:t>
      </w:r>
      <w:r w:rsidRPr="009C5BFC">
        <w:rPr>
          <w:rFonts w:ascii="Times New Roman" w:hAnsi="Times New Roman" w:cs="Times New Roman"/>
          <w:sz w:val="20"/>
          <w:szCs w:val="20"/>
        </w:rPr>
        <w:t xml:space="preserve"> after an integer number of association periods, if any, are not used for PRACH transmissions.</w:t>
      </w:r>
    </w:p>
    <w:p w14:paraId="5C4A8E18" w14:textId="77777777" w:rsidR="008C04A7" w:rsidRPr="00F903CA" w:rsidRDefault="008C04A7" w:rsidP="008C04A7">
      <w:pPr>
        <w:pStyle w:val="BodyText"/>
        <w:jc w:val="center"/>
      </w:pPr>
      <w:r>
        <w:t>*** Unchanged text omitted ***</w:t>
      </w:r>
    </w:p>
    <w:p w14:paraId="333A185E" w14:textId="77777777" w:rsidR="008C04A7" w:rsidRPr="00F903CA" w:rsidRDefault="008C04A7" w:rsidP="008C04A7">
      <w:pPr>
        <w:rPr>
          <w:rFonts w:ascii="Arial" w:hAnsi="Arial" w:cs="Arial"/>
          <w:lang w:eastAsia="ja-JP"/>
        </w:rPr>
      </w:pPr>
      <w:r w:rsidRPr="00F903CA">
        <w:rPr>
          <w:rFonts w:ascii="Arial" w:hAnsi="Arial" w:cs="Arial"/>
          <w:highlight w:val="yellow"/>
        </w:rPr>
        <w:t>&gt;&gt;&gt; End Text Proposal &gt;&gt;&gt;</w:t>
      </w:r>
    </w:p>
    <w:p w14:paraId="78711F14" w14:textId="77777777" w:rsidR="008C04A7" w:rsidRPr="004C0921" w:rsidRDefault="008C04A7" w:rsidP="004C0921">
      <w:pPr>
        <w:rPr>
          <w:lang w:eastAsia="ja-JP"/>
        </w:rPr>
      </w:pPr>
    </w:p>
    <w:p w14:paraId="36130378" w14:textId="625E472C" w:rsidR="008C04A7" w:rsidRPr="00290A61" w:rsidRDefault="008C04A7" w:rsidP="004C0921">
      <w:pPr>
        <w:pStyle w:val="Heading2"/>
        <w:rPr>
          <w:lang w:val="en-US"/>
        </w:rPr>
      </w:pPr>
      <w:r w:rsidRPr="00290A61">
        <w:rPr>
          <w:lang w:val="en-US"/>
        </w:rPr>
        <w:t>A.2</w:t>
      </w:r>
      <w:r w:rsidRPr="00290A61">
        <w:rPr>
          <w:lang w:val="en-US"/>
        </w:rPr>
        <w:tab/>
        <w:t>Correction of path loss reference to an SS/PBCH block</w:t>
      </w:r>
    </w:p>
    <w:p w14:paraId="1278D06A" w14:textId="77777777" w:rsidR="008C04A7" w:rsidRDefault="008C04A7" w:rsidP="008C04A7">
      <w:pPr>
        <w:pStyle w:val="BodyText"/>
      </w:pPr>
      <w:r w:rsidRPr="00BF0C27">
        <w:rPr>
          <w:highlight w:val="yellow"/>
        </w:rPr>
        <w:t>&gt;&gt;&gt; Text Proposal for 38.</w:t>
      </w:r>
      <w:r>
        <w:rPr>
          <w:highlight w:val="yellow"/>
        </w:rPr>
        <w:t>213</w:t>
      </w:r>
      <w:r w:rsidRPr="00BF0C27">
        <w:rPr>
          <w:highlight w:val="yellow"/>
        </w:rPr>
        <w:t xml:space="preserve">, Section </w:t>
      </w:r>
      <w:r>
        <w:rPr>
          <w:highlight w:val="yellow"/>
        </w:rPr>
        <w:t>7.1.1</w:t>
      </w:r>
      <w:r w:rsidRPr="00BF0C27">
        <w:rPr>
          <w:highlight w:val="yellow"/>
        </w:rPr>
        <w:t xml:space="preserve"> &gt;&gt;&gt;</w:t>
      </w:r>
    </w:p>
    <w:p w14:paraId="3FE0205D" w14:textId="77777777" w:rsidR="008C04A7" w:rsidRPr="004C0921" w:rsidRDefault="008C04A7" w:rsidP="004C0921">
      <w:pPr>
        <w:pStyle w:val="BodyText"/>
        <w:jc w:val="center"/>
      </w:pPr>
      <w:r>
        <w:t>*** Unchanged text omitted ***</w:t>
      </w:r>
    </w:p>
    <w:p w14:paraId="14466FEC" w14:textId="66129F41" w:rsidR="008C04A7" w:rsidRPr="009C5BFC" w:rsidRDefault="008C04A7" w:rsidP="008C04A7">
      <w:pPr>
        <w:pStyle w:val="B2"/>
        <w:rPr>
          <w:rFonts w:eastAsia="Times New Roman" w:cs="Times New Roman"/>
          <w:sz w:val="20"/>
          <w:szCs w:val="20"/>
        </w:rPr>
      </w:pPr>
      <w:bookmarkStart w:id="55" w:name="_Hlk37234907"/>
      <w:r w:rsidRPr="009C5BFC">
        <w:rPr>
          <w:sz w:val="20"/>
          <w:szCs w:val="20"/>
        </w:rPr>
        <w:t>-</w:t>
      </w:r>
      <w:r w:rsidRPr="009C5BFC">
        <w:rPr>
          <w:sz w:val="20"/>
          <w:szCs w:val="20"/>
        </w:rPr>
        <w:tab/>
        <w:t xml:space="preserve">If the UE is not provided </w:t>
      </w:r>
      <w:proofErr w:type="spellStart"/>
      <w:r w:rsidRPr="009C5BFC">
        <w:rPr>
          <w:i/>
          <w:sz w:val="20"/>
          <w:szCs w:val="20"/>
        </w:rPr>
        <w:t>pathlossReferenceRSs</w:t>
      </w:r>
      <w:proofErr w:type="spellEnd"/>
      <w:r w:rsidRPr="009C5BFC">
        <w:rPr>
          <w:rFonts w:eastAsia="MS Mincho"/>
          <w:sz w:val="20"/>
          <w:szCs w:val="20"/>
        </w:rPr>
        <w:t xml:space="preserve"> or before the UE is provided dedicated higher layer parameters</w:t>
      </w:r>
      <w:r w:rsidRPr="009C5BFC">
        <w:rPr>
          <w:iCs/>
          <w:sz w:val="20"/>
          <w:szCs w:val="20"/>
        </w:rPr>
        <w:t xml:space="preserve">, the UE calculates </w:t>
      </w:r>
      <w:r w:rsidRPr="0053281E">
        <w:rPr>
          <w:noProof/>
          <w:position w:val="-12"/>
          <w:sz w:val="20"/>
          <w:szCs w:val="20"/>
        </w:rPr>
        <w:drawing>
          <wp:inline distT="0" distB="0" distL="0" distR="0" wp14:anchorId="256F9EFB" wp14:editId="4632CA5E">
            <wp:extent cx="640080" cy="1905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0080" cy="190500"/>
                    </a:xfrm>
                    <a:prstGeom prst="rect">
                      <a:avLst/>
                    </a:prstGeom>
                    <a:noFill/>
                    <a:ln>
                      <a:noFill/>
                    </a:ln>
                  </pic:spPr>
                </pic:pic>
              </a:graphicData>
            </a:graphic>
          </wp:inline>
        </w:drawing>
      </w:r>
      <w:r w:rsidRPr="009C5BFC">
        <w:rPr>
          <w:sz w:val="20"/>
          <w:szCs w:val="20"/>
        </w:rPr>
        <w:t xml:space="preserve"> using </w:t>
      </w:r>
      <w:r w:rsidRPr="009C5BFC">
        <w:rPr>
          <w:iCs/>
          <w:sz w:val="20"/>
          <w:szCs w:val="20"/>
        </w:rPr>
        <w:t xml:space="preserve">a RS resource obtained from </w:t>
      </w:r>
      <w:proofErr w:type="gramStart"/>
      <w:r w:rsidRPr="004C0921">
        <w:rPr>
          <w:iCs/>
          <w:strike/>
          <w:color w:val="FF0000"/>
          <w:sz w:val="20"/>
          <w:szCs w:val="20"/>
        </w:rPr>
        <w:t>the</w:t>
      </w:r>
      <w:r w:rsidRPr="004C0921">
        <w:rPr>
          <w:iCs/>
          <w:color w:val="FF0000"/>
          <w:sz w:val="20"/>
          <w:szCs w:val="20"/>
        </w:rPr>
        <w:t xml:space="preserve"> an</w:t>
      </w:r>
      <w:proofErr w:type="gramEnd"/>
      <w:r w:rsidRPr="009C5BFC">
        <w:rPr>
          <w:iCs/>
          <w:sz w:val="20"/>
          <w:szCs w:val="20"/>
        </w:rPr>
        <w:t xml:space="preserve"> SS/PBCH block</w:t>
      </w:r>
      <w:r w:rsidR="008C0264">
        <w:rPr>
          <w:iCs/>
          <w:sz w:val="20"/>
          <w:szCs w:val="20"/>
        </w:rPr>
        <w:t xml:space="preserve"> </w:t>
      </w:r>
      <w:r w:rsidR="008C0264">
        <w:rPr>
          <w:color w:val="FF0000"/>
          <w:sz w:val="20"/>
          <w:szCs w:val="20"/>
        </w:rPr>
        <w:t>with the same SS/PBCH block index as the one</w:t>
      </w:r>
      <w:r w:rsidRPr="009C5BFC">
        <w:rPr>
          <w:iCs/>
          <w:sz w:val="20"/>
          <w:szCs w:val="20"/>
        </w:rPr>
        <w:t xml:space="preserve"> that the UE uses to obtain </w:t>
      </w:r>
      <w:r w:rsidRPr="009C5BFC">
        <w:rPr>
          <w:i/>
          <w:sz w:val="20"/>
          <w:szCs w:val="20"/>
        </w:rPr>
        <w:t>MIB</w:t>
      </w:r>
    </w:p>
    <w:bookmarkEnd w:id="55"/>
    <w:p w14:paraId="6D4065EE" w14:textId="77777777" w:rsidR="008C04A7" w:rsidRPr="00F903CA" w:rsidRDefault="008C04A7" w:rsidP="008C04A7">
      <w:pPr>
        <w:pStyle w:val="BodyText"/>
        <w:jc w:val="center"/>
      </w:pPr>
      <w:r>
        <w:lastRenderedPageBreak/>
        <w:t>*** Unchanged text omitted ***</w:t>
      </w:r>
    </w:p>
    <w:p w14:paraId="5A935A50" w14:textId="77777777" w:rsidR="008C04A7" w:rsidRPr="004C0921" w:rsidRDefault="008C04A7" w:rsidP="004C0921">
      <w:pPr>
        <w:rPr>
          <w:rFonts w:cs="Arial"/>
          <w:lang w:eastAsia="ja-JP"/>
        </w:rPr>
      </w:pPr>
      <w:r w:rsidRPr="004C0921">
        <w:rPr>
          <w:rFonts w:ascii="Arial" w:hAnsi="Arial" w:cs="Arial"/>
          <w:highlight w:val="yellow"/>
        </w:rPr>
        <w:t>&gt;&gt;&gt; End Text Proposal &gt;&gt;&gt;</w:t>
      </w:r>
    </w:p>
    <w:p w14:paraId="61FC9CD5" w14:textId="77777777" w:rsidR="008C04A7" w:rsidRDefault="008C04A7" w:rsidP="008C04A7">
      <w:pPr>
        <w:pStyle w:val="BodyText"/>
        <w:rPr>
          <w:highlight w:val="yellow"/>
        </w:rPr>
      </w:pPr>
    </w:p>
    <w:p w14:paraId="33197531" w14:textId="77777777" w:rsidR="008C04A7" w:rsidRDefault="008C04A7" w:rsidP="008C04A7">
      <w:pPr>
        <w:pStyle w:val="BodyText"/>
      </w:pPr>
      <w:r w:rsidRPr="00BF0C27">
        <w:rPr>
          <w:highlight w:val="yellow"/>
        </w:rPr>
        <w:t>&gt;&gt;&gt; Text Proposal for 38.</w:t>
      </w:r>
      <w:r>
        <w:rPr>
          <w:highlight w:val="yellow"/>
        </w:rPr>
        <w:t>213</w:t>
      </w:r>
      <w:r w:rsidRPr="00BF0C27">
        <w:rPr>
          <w:highlight w:val="yellow"/>
        </w:rPr>
        <w:t xml:space="preserve">, Section </w:t>
      </w:r>
      <w:r>
        <w:rPr>
          <w:highlight w:val="yellow"/>
        </w:rPr>
        <w:t>7.2.1</w:t>
      </w:r>
      <w:r w:rsidRPr="00BF0C27">
        <w:rPr>
          <w:highlight w:val="yellow"/>
        </w:rPr>
        <w:t xml:space="preserve"> &gt;&gt;&gt;</w:t>
      </w:r>
    </w:p>
    <w:p w14:paraId="72B19C29" w14:textId="77777777" w:rsidR="008C04A7" w:rsidRDefault="008C04A7" w:rsidP="008C04A7">
      <w:pPr>
        <w:pStyle w:val="BodyText"/>
        <w:jc w:val="center"/>
      </w:pPr>
      <w:r>
        <w:t>*** Unchanged text omitted ***</w:t>
      </w:r>
    </w:p>
    <w:p w14:paraId="22C0B60D" w14:textId="755F29AF" w:rsidR="008C04A7" w:rsidRPr="004C0921" w:rsidRDefault="008C04A7" w:rsidP="004C0921">
      <w:pPr>
        <w:pStyle w:val="B2"/>
        <w:rPr>
          <w:rFonts w:eastAsia="Times New Roman" w:cs="Times New Roman"/>
          <w:sz w:val="20"/>
          <w:szCs w:val="20"/>
        </w:rPr>
      </w:pPr>
      <w:r w:rsidRPr="009C5BFC">
        <w:rPr>
          <w:sz w:val="20"/>
          <w:szCs w:val="20"/>
        </w:rPr>
        <w:t>-</w:t>
      </w:r>
      <w:r w:rsidRPr="009C5BFC">
        <w:rPr>
          <w:sz w:val="20"/>
          <w:szCs w:val="20"/>
        </w:rPr>
        <w:tab/>
        <w:t xml:space="preserve">If the UE is not provided </w:t>
      </w:r>
      <w:proofErr w:type="spellStart"/>
      <w:r w:rsidRPr="009C5BFC">
        <w:rPr>
          <w:i/>
          <w:sz w:val="20"/>
          <w:szCs w:val="20"/>
        </w:rPr>
        <w:t>pathlossReferenceRSs</w:t>
      </w:r>
      <w:proofErr w:type="spellEnd"/>
      <w:r w:rsidRPr="009C5BFC">
        <w:rPr>
          <w:rFonts w:eastAsia="MS Mincho"/>
          <w:sz w:val="20"/>
          <w:szCs w:val="20"/>
        </w:rPr>
        <w:t xml:space="preserve"> or before the UE is provided dedicated higher layer parameters</w:t>
      </w:r>
      <w:r w:rsidRPr="009C5BFC">
        <w:rPr>
          <w:iCs/>
          <w:sz w:val="20"/>
          <w:szCs w:val="20"/>
        </w:rPr>
        <w:t xml:space="preserve">, the UE calculates </w:t>
      </w:r>
      <w:r w:rsidRPr="0053281E">
        <w:rPr>
          <w:noProof/>
          <w:position w:val="-12"/>
          <w:sz w:val="20"/>
          <w:szCs w:val="20"/>
        </w:rPr>
        <w:drawing>
          <wp:inline distT="0" distB="0" distL="0" distR="0" wp14:anchorId="258A410E" wp14:editId="43EE85CF">
            <wp:extent cx="640080" cy="190500"/>
            <wp:effectExtent l="0" t="0" r="762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0080" cy="190500"/>
                    </a:xfrm>
                    <a:prstGeom prst="rect">
                      <a:avLst/>
                    </a:prstGeom>
                    <a:noFill/>
                    <a:ln>
                      <a:noFill/>
                    </a:ln>
                  </pic:spPr>
                </pic:pic>
              </a:graphicData>
            </a:graphic>
          </wp:inline>
        </w:drawing>
      </w:r>
      <w:r w:rsidRPr="009C5BFC">
        <w:rPr>
          <w:sz w:val="20"/>
          <w:szCs w:val="20"/>
        </w:rPr>
        <w:t xml:space="preserve"> using </w:t>
      </w:r>
      <w:r w:rsidRPr="009C5BFC">
        <w:rPr>
          <w:iCs/>
          <w:sz w:val="20"/>
          <w:szCs w:val="20"/>
        </w:rPr>
        <w:t xml:space="preserve">a RS resource obtained from </w:t>
      </w:r>
      <w:proofErr w:type="gramStart"/>
      <w:r w:rsidRPr="004C0921">
        <w:rPr>
          <w:iCs/>
          <w:strike/>
          <w:color w:val="FF0000"/>
          <w:sz w:val="20"/>
          <w:szCs w:val="20"/>
        </w:rPr>
        <w:t>the</w:t>
      </w:r>
      <w:r w:rsidRPr="004C0921">
        <w:rPr>
          <w:iCs/>
          <w:color w:val="FF0000"/>
          <w:sz w:val="20"/>
          <w:szCs w:val="20"/>
        </w:rPr>
        <w:t xml:space="preserve"> an</w:t>
      </w:r>
      <w:proofErr w:type="gramEnd"/>
      <w:r w:rsidRPr="009C5BFC">
        <w:rPr>
          <w:iCs/>
          <w:sz w:val="20"/>
          <w:szCs w:val="20"/>
        </w:rPr>
        <w:t xml:space="preserve"> SS/PBCH block</w:t>
      </w:r>
      <w:r w:rsidR="008C0264">
        <w:rPr>
          <w:iCs/>
          <w:sz w:val="20"/>
          <w:szCs w:val="20"/>
        </w:rPr>
        <w:t xml:space="preserve"> </w:t>
      </w:r>
      <w:r w:rsidR="008C0264">
        <w:rPr>
          <w:color w:val="FF0000"/>
          <w:sz w:val="20"/>
          <w:szCs w:val="20"/>
        </w:rPr>
        <w:t>with the same SS/PBCH block index as the one</w:t>
      </w:r>
      <w:r w:rsidRPr="009C5BFC">
        <w:rPr>
          <w:iCs/>
          <w:sz w:val="20"/>
          <w:szCs w:val="20"/>
        </w:rPr>
        <w:t xml:space="preserve"> that the UE uses to obtain </w:t>
      </w:r>
      <w:r w:rsidRPr="009C5BFC">
        <w:rPr>
          <w:i/>
          <w:sz w:val="20"/>
          <w:szCs w:val="20"/>
        </w:rPr>
        <w:t>MIB</w:t>
      </w:r>
    </w:p>
    <w:p w14:paraId="5614CC97" w14:textId="77777777" w:rsidR="008C04A7" w:rsidRPr="00F903CA" w:rsidRDefault="008C04A7" w:rsidP="008C04A7">
      <w:pPr>
        <w:pStyle w:val="BodyText"/>
        <w:jc w:val="center"/>
      </w:pPr>
      <w:r>
        <w:t>*** Unchanged text omitted ***</w:t>
      </w:r>
    </w:p>
    <w:p w14:paraId="76F99BB6" w14:textId="77777777" w:rsidR="008C04A7" w:rsidRPr="004C0921" w:rsidRDefault="008C04A7" w:rsidP="004C0921">
      <w:pPr>
        <w:rPr>
          <w:rFonts w:cs="Arial"/>
          <w:lang w:eastAsia="ja-JP"/>
        </w:rPr>
      </w:pPr>
      <w:r w:rsidRPr="00F903CA">
        <w:rPr>
          <w:rFonts w:ascii="Arial" w:hAnsi="Arial" w:cs="Arial"/>
          <w:highlight w:val="yellow"/>
        </w:rPr>
        <w:t>&gt;&gt;&gt; End Text Proposal &gt;&gt;&gt;</w:t>
      </w:r>
    </w:p>
    <w:p w14:paraId="60D793AB" w14:textId="77777777" w:rsidR="008C04A7" w:rsidRDefault="008C04A7" w:rsidP="008C04A7">
      <w:pPr>
        <w:pStyle w:val="BodyText"/>
        <w:rPr>
          <w:highlight w:val="yellow"/>
        </w:rPr>
      </w:pPr>
    </w:p>
    <w:p w14:paraId="4948FF61" w14:textId="77777777" w:rsidR="008C04A7" w:rsidRDefault="008C04A7" w:rsidP="008C04A7">
      <w:pPr>
        <w:pStyle w:val="BodyText"/>
      </w:pPr>
      <w:r w:rsidRPr="00BF0C27">
        <w:rPr>
          <w:highlight w:val="yellow"/>
        </w:rPr>
        <w:t>&gt;&gt;&gt; Text Proposal for 38.</w:t>
      </w:r>
      <w:r>
        <w:rPr>
          <w:highlight w:val="yellow"/>
        </w:rPr>
        <w:t>213</w:t>
      </w:r>
      <w:r w:rsidRPr="00BF0C27">
        <w:rPr>
          <w:highlight w:val="yellow"/>
        </w:rPr>
        <w:t xml:space="preserve">, Section </w:t>
      </w:r>
      <w:r>
        <w:rPr>
          <w:highlight w:val="yellow"/>
        </w:rPr>
        <w:t>7.3.1</w:t>
      </w:r>
      <w:r w:rsidRPr="00BF0C27">
        <w:rPr>
          <w:highlight w:val="yellow"/>
        </w:rPr>
        <w:t xml:space="preserve"> &gt;&gt;&gt;</w:t>
      </w:r>
    </w:p>
    <w:p w14:paraId="107A1A89" w14:textId="77777777" w:rsidR="008C04A7" w:rsidRDefault="008C04A7" w:rsidP="004C0921">
      <w:pPr>
        <w:pStyle w:val="BodyText"/>
        <w:jc w:val="center"/>
      </w:pPr>
      <w:r>
        <w:t>*** Unchanged text omitted ***</w:t>
      </w:r>
    </w:p>
    <w:p w14:paraId="3758BBA2" w14:textId="7F3FFBA9" w:rsidR="008C04A7" w:rsidRPr="009C5BFC" w:rsidRDefault="008C04A7" w:rsidP="008C04A7">
      <w:pPr>
        <w:pStyle w:val="B2"/>
        <w:rPr>
          <w:rFonts w:eastAsia="Times New Roman" w:cs="Times New Roman"/>
          <w:sz w:val="20"/>
          <w:szCs w:val="20"/>
        </w:rPr>
      </w:pPr>
      <w:r w:rsidRPr="009C5BFC">
        <w:rPr>
          <w:sz w:val="20"/>
          <w:szCs w:val="20"/>
        </w:rPr>
        <w:t>-</w:t>
      </w:r>
      <w:r w:rsidRPr="009C5BFC">
        <w:rPr>
          <w:sz w:val="20"/>
          <w:szCs w:val="20"/>
        </w:rPr>
        <w:tab/>
        <w:t xml:space="preserve">If the UE is not provided </w:t>
      </w:r>
      <w:proofErr w:type="spellStart"/>
      <w:r w:rsidRPr="009C5BFC">
        <w:rPr>
          <w:i/>
          <w:sz w:val="20"/>
          <w:szCs w:val="20"/>
        </w:rPr>
        <w:t>pathlossReferenceRS</w:t>
      </w:r>
      <w:proofErr w:type="spellEnd"/>
      <w:r w:rsidRPr="009C5BFC">
        <w:rPr>
          <w:rFonts w:eastAsia="MS Mincho"/>
          <w:sz w:val="20"/>
          <w:szCs w:val="20"/>
        </w:rPr>
        <w:t xml:space="preserve"> or </w:t>
      </w:r>
      <w:r w:rsidRPr="009C5BFC">
        <w:rPr>
          <w:i/>
          <w:iCs/>
          <w:sz w:val="20"/>
          <w:szCs w:val="20"/>
          <w:lang w:eastAsia="ko-KR"/>
        </w:rPr>
        <w:t>SRS-</w:t>
      </w:r>
      <w:proofErr w:type="spellStart"/>
      <w:r w:rsidRPr="009C5BFC">
        <w:rPr>
          <w:i/>
          <w:iCs/>
          <w:sz w:val="20"/>
          <w:szCs w:val="20"/>
          <w:lang w:eastAsia="ko-KR"/>
        </w:rPr>
        <w:t>PathlossReferenceRS</w:t>
      </w:r>
      <w:proofErr w:type="spellEnd"/>
      <w:r w:rsidRPr="009C5BFC">
        <w:rPr>
          <w:sz w:val="20"/>
          <w:szCs w:val="20"/>
          <w:lang w:eastAsia="ko-KR"/>
        </w:rPr>
        <w:t xml:space="preserve">, </w:t>
      </w:r>
      <w:r w:rsidRPr="009C5BFC">
        <w:rPr>
          <w:rFonts w:eastAsia="MS Mincho"/>
          <w:sz w:val="20"/>
          <w:szCs w:val="20"/>
        </w:rPr>
        <w:t>or before the UE is provided dedicated higher layer parameters</w:t>
      </w:r>
      <w:r w:rsidRPr="009C5BFC">
        <w:rPr>
          <w:iCs/>
          <w:sz w:val="20"/>
          <w:szCs w:val="20"/>
        </w:rPr>
        <w:t xml:space="preserve">, the UE calculates </w:t>
      </w:r>
      <w:r w:rsidRPr="0053281E">
        <w:rPr>
          <w:noProof/>
          <w:position w:val="-12"/>
          <w:sz w:val="20"/>
          <w:szCs w:val="20"/>
        </w:rPr>
        <w:drawing>
          <wp:inline distT="0" distB="0" distL="0" distR="0" wp14:anchorId="30903A3B" wp14:editId="2816AFB8">
            <wp:extent cx="640080" cy="1828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9C5BFC">
        <w:rPr>
          <w:sz w:val="20"/>
          <w:szCs w:val="20"/>
        </w:rPr>
        <w:t xml:space="preserve"> using </w:t>
      </w:r>
      <w:r w:rsidRPr="009C5BFC">
        <w:rPr>
          <w:iCs/>
          <w:sz w:val="20"/>
          <w:szCs w:val="20"/>
        </w:rPr>
        <w:t xml:space="preserve">a RS resource obtained from </w:t>
      </w:r>
      <w:r w:rsidRPr="004C0921">
        <w:rPr>
          <w:iCs/>
          <w:strike/>
          <w:color w:val="FF0000"/>
          <w:sz w:val="20"/>
          <w:szCs w:val="20"/>
        </w:rPr>
        <w:t>the</w:t>
      </w:r>
      <w:r w:rsidRPr="004C0921">
        <w:rPr>
          <w:iCs/>
          <w:color w:val="FF0000"/>
          <w:sz w:val="20"/>
          <w:szCs w:val="20"/>
        </w:rPr>
        <w:t xml:space="preserve"> an</w:t>
      </w:r>
      <w:r w:rsidRPr="009C5BFC">
        <w:rPr>
          <w:iCs/>
          <w:sz w:val="20"/>
          <w:szCs w:val="20"/>
        </w:rPr>
        <w:t xml:space="preserve"> SS/PBCH block</w:t>
      </w:r>
      <w:r w:rsidR="008C0264">
        <w:rPr>
          <w:iCs/>
          <w:sz w:val="20"/>
          <w:szCs w:val="20"/>
        </w:rPr>
        <w:t xml:space="preserve"> </w:t>
      </w:r>
      <w:r w:rsidR="008C0264">
        <w:rPr>
          <w:color w:val="FF0000"/>
          <w:sz w:val="20"/>
          <w:szCs w:val="20"/>
        </w:rPr>
        <w:t>with the same SS/PBCH block index as the one</w:t>
      </w:r>
      <w:r w:rsidRPr="009C5BFC">
        <w:rPr>
          <w:iCs/>
          <w:sz w:val="20"/>
          <w:szCs w:val="20"/>
        </w:rPr>
        <w:t xml:space="preserve"> that the UE uses to obtain </w:t>
      </w:r>
      <w:r w:rsidRPr="009C5BFC">
        <w:rPr>
          <w:i/>
          <w:sz w:val="20"/>
          <w:szCs w:val="20"/>
        </w:rPr>
        <w:t>MIB</w:t>
      </w:r>
    </w:p>
    <w:p w14:paraId="622302BA" w14:textId="77777777" w:rsidR="008C04A7" w:rsidRPr="00F903CA" w:rsidRDefault="008C04A7" w:rsidP="008C04A7">
      <w:pPr>
        <w:pStyle w:val="BodyText"/>
        <w:jc w:val="center"/>
      </w:pPr>
      <w:r>
        <w:t>*** Unchanged text omitted ***</w:t>
      </w:r>
    </w:p>
    <w:p w14:paraId="742C8158" w14:textId="77777777" w:rsidR="008C04A7" w:rsidRPr="00F903CA" w:rsidRDefault="008C04A7" w:rsidP="008C04A7">
      <w:pPr>
        <w:rPr>
          <w:rFonts w:ascii="Arial" w:hAnsi="Arial" w:cs="Arial"/>
          <w:lang w:eastAsia="ja-JP"/>
        </w:rPr>
      </w:pPr>
      <w:r w:rsidRPr="00F903CA">
        <w:rPr>
          <w:rFonts w:ascii="Arial" w:hAnsi="Arial" w:cs="Arial"/>
          <w:highlight w:val="yellow"/>
        </w:rPr>
        <w:t>&gt;&gt;&gt; End Text Proposal &gt;&gt;&gt;</w:t>
      </w:r>
    </w:p>
    <w:p w14:paraId="6A6AFCC2" w14:textId="77777777" w:rsidR="008C04A7" w:rsidRDefault="008C04A7" w:rsidP="008C04A7">
      <w:pPr>
        <w:pStyle w:val="BodyText"/>
      </w:pPr>
    </w:p>
    <w:p w14:paraId="3240DB40" w14:textId="5FCD6950" w:rsidR="000C61A4" w:rsidRPr="00290A61" w:rsidRDefault="000649DE" w:rsidP="000649DE">
      <w:pPr>
        <w:pStyle w:val="Heading2"/>
        <w:rPr>
          <w:lang w:val="en-US"/>
        </w:rPr>
      </w:pPr>
      <w:r w:rsidRPr="00290A61">
        <w:rPr>
          <w:lang w:val="en-US"/>
        </w:rPr>
        <w:t>A.</w:t>
      </w:r>
      <w:r w:rsidR="008C04A7" w:rsidRPr="00290A61">
        <w:rPr>
          <w:lang w:val="en-US"/>
        </w:rPr>
        <w:t>3</w:t>
      </w:r>
      <w:r w:rsidR="00E25619" w:rsidRPr="00290A61">
        <w:rPr>
          <w:lang w:val="en-US"/>
        </w:rPr>
        <w:tab/>
      </w:r>
      <w:bookmarkEnd w:id="54"/>
      <w:r w:rsidR="008C04A7" w:rsidRPr="00290A61">
        <w:rPr>
          <w:lang w:val="en-US"/>
        </w:rPr>
        <w:t>Alignment of RRC p</w:t>
      </w:r>
      <w:r w:rsidR="000B31B8" w:rsidRPr="00290A61">
        <w:rPr>
          <w:lang w:val="en-US"/>
        </w:rPr>
        <w:t>arameter names</w:t>
      </w:r>
    </w:p>
    <w:p w14:paraId="1BAA0FAD" w14:textId="77777777" w:rsidR="000649DE" w:rsidRDefault="000649DE" w:rsidP="000649DE">
      <w:pPr>
        <w:pStyle w:val="BodyText"/>
      </w:pPr>
      <w:r w:rsidRPr="00BF0C27">
        <w:rPr>
          <w:highlight w:val="yellow"/>
        </w:rPr>
        <w:t>&gt;&gt;&gt; Text Proposal for 38.</w:t>
      </w:r>
      <w:r>
        <w:rPr>
          <w:highlight w:val="yellow"/>
        </w:rPr>
        <w:t>213</w:t>
      </w:r>
      <w:r w:rsidRPr="00BF0C27">
        <w:rPr>
          <w:highlight w:val="yellow"/>
        </w:rPr>
        <w:t xml:space="preserve">, Section </w:t>
      </w:r>
      <w:r>
        <w:rPr>
          <w:highlight w:val="yellow"/>
        </w:rPr>
        <w:t>4.1</w:t>
      </w:r>
      <w:r w:rsidRPr="00BF0C27">
        <w:rPr>
          <w:highlight w:val="yellow"/>
        </w:rPr>
        <w:t xml:space="preserve"> &gt;&gt;&gt;</w:t>
      </w:r>
    </w:p>
    <w:p w14:paraId="20EF1621" w14:textId="77777777" w:rsidR="00175FEE" w:rsidRPr="00F903CA" w:rsidRDefault="00175FEE" w:rsidP="00175FEE">
      <w:pPr>
        <w:pStyle w:val="BodyText"/>
        <w:jc w:val="center"/>
      </w:pPr>
      <w:r>
        <w:t>*** Unchanged text omitted ***</w:t>
      </w:r>
    </w:p>
    <w:p w14:paraId="5646A7AB" w14:textId="5E3FE71C" w:rsidR="000649DE" w:rsidRPr="00175FEE" w:rsidRDefault="000649DE" w:rsidP="000649DE">
      <w:pPr>
        <w:spacing w:line="256" w:lineRule="auto"/>
        <w:rPr>
          <w:rFonts w:ascii="Times New Roman" w:eastAsia="Times New Roman" w:hAnsi="Times New Roman" w:cs="Times New Roman"/>
          <w:sz w:val="20"/>
          <w:szCs w:val="20"/>
        </w:rPr>
      </w:pPr>
      <w:r w:rsidRPr="00175FEE">
        <w:rPr>
          <w:rFonts w:ascii="Times New Roman" w:hAnsi="Times New Roman" w:cs="Times New Roman"/>
          <w:sz w:val="20"/>
          <w:szCs w:val="20"/>
        </w:rP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sidRPr="004C0921">
        <w:rPr>
          <w:rFonts w:ascii="Times New Roman" w:hAnsi="Times New Roman" w:cs="Times New Roman"/>
          <w:i/>
          <w:strike/>
          <w:color w:val="FF0000"/>
          <w:sz w:val="20"/>
          <w:szCs w:val="20"/>
        </w:rPr>
        <w:t>D</w:t>
      </w:r>
      <w:r w:rsidRPr="004C0921">
        <w:rPr>
          <w:rFonts w:ascii="Times New Roman" w:hAnsi="Times New Roman" w:cs="Times New Roman"/>
          <w:i/>
          <w:color w:val="FF0000"/>
          <w:sz w:val="20"/>
          <w:szCs w:val="20"/>
        </w:rPr>
        <w:t>d</w:t>
      </w:r>
      <w:r w:rsidRPr="00175FEE">
        <w:rPr>
          <w:rFonts w:ascii="Times New Roman" w:hAnsi="Times New Roman" w:cs="Times New Roman"/>
          <w:i/>
          <w:sz w:val="20"/>
          <w:szCs w:val="20"/>
        </w:rPr>
        <w:t>iscoveryBurst-WindowLength-r16</w:t>
      </w:r>
      <w:r w:rsidRPr="00175FEE">
        <w:rPr>
          <w:rFonts w:ascii="Times New Roman" w:hAnsi="Times New Roman" w:cs="Times New Roman"/>
          <w:sz w:val="20"/>
          <w:szCs w:val="20"/>
        </w:rPr>
        <w:t xml:space="preserve"> a duration of the discovery burst transmission window. If</w:t>
      </w:r>
      <w:r w:rsidRPr="00175FEE">
        <w:rPr>
          <w:rFonts w:ascii="Times New Roman" w:hAnsi="Times New Roman" w:cs="Times New Roman"/>
          <w:i/>
          <w:sz w:val="20"/>
          <w:szCs w:val="20"/>
        </w:rPr>
        <w:t xml:space="preserve"> </w:t>
      </w:r>
      <w:r w:rsidRPr="004C0921">
        <w:rPr>
          <w:rFonts w:ascii="Times New Roman" w:hAnsi="Times New Roman" w:cs="Times New Roman"/>
          <w:i/>
          <w:strike/>
          <w:color w:val="FF0000"/>
          <w:sz w:val="20"/>
          <w:szCs w:val="20"/>
        </w:rPr>
        <w:t>D</w:t>
      </w:r>
      <w:r w:rsidRPr="004C0921">
        <w:rPr>
          <w:rFonts w:ascii="Times New Roman" w:hAnsi="Times New Roman" w:cs="Times New Roman"/>
          <w:i/>
          <w:color w:val="FF0000"/>
          <w:sz w:val="20"/>
          <w:szCs w:val="20"/>
        </w:rPr>
        <w:t>d</w:t>
      </w:r>
      <w:r w:rsidRPr="00175FEE">
        <w:rPr>
          <w:rFonts w:ascii="Times New Roman" w:hAnsi="Times New Roman" w:cs="Times New Roman"/>
          <w:i/>
          <w:sz w:val="20"/>
          <w:szCs w:val="20"/>
        </w:rPr>
        <w:t>iscoveryBurst-WindowLength-r16</w:t>
      </w:r>
      <w:r w:rsidRPr="00175FEE">
        <w:rPr>
          <w:rFonts w:ascii="Times New Roman" w:hAnsi="Times New Roman" w:cs="Times New Roman"/>
          <w:sz w:val="20"/>
          <w:szCs w:val="20"/>
        </w:rPr>
        <w:t xml:space="preserve"> is not provided, the UE assumes that the duration of the discovery burst transmission window is a half frame. For a serving cell, the UE assumes that a periodicity of the discovery burst transmission window is same as a periodicity of half frames for receptions of SS/PBCH blocks in the serving cell. The UE assumes that one or more SS/PBCH blocks indicated by </w:t>
      </w:r>
      <w:proofErr w:type="spellStart"/>
      <w:r w:rsidRPr="00175FEE">
        <w:rPr>
          <w:rFonts w:ascii="Times New Roman" w:hAnsi="Times New Roman" w:cs="Times New Roman"/>
          <w:i/>
          <w:iCs/>
          <w:sz w:val="20"/>
          <w:szCs w:val="20"/>
        </w:rPr>
        <w:t>ssb-PositionsInBurst</w:t>
      </w:r>
      <w:proofErr w:type="spellEnd"/>
      <w:r w:rsidRPr="00175FEE">
        <w:rPr>
          <w:rFonts w:ascii="Times New Roman" w:hAnsi="Times New Roman" w:cs="Times New Roman"/>
          <w:sz w:val="20"/>
          <w:szCs w:val="20"/>
        </w:rPr>
        <w:t xml:space="preserve"> may be transmitted within the discovery burst transmission window and have candidate SS/PBCH blocks indexes corresponding to SS/PBCH block indexes provided by </w:t>
      </w:r>
      <w:proofErr w:type="spellStart"/>
      <w:r w:rsidRPr="00175FEE">
        <w:rPr>
          <w:rFonts w:ascii="Times New Roman" w:hAnsi="Times New Roman" w:cs="Times New Roman"/>
          <w:i/>
          <w:iCs/>
          <w:sz w:val="20"/>
          <w:szCs w:val="20"/>
        </w:rPr>
        <w:t>ssb-PositionsInBurst</w:t>
      </w:r>
      <w:proofErr w:type="spellEnd"/>
      <w:r w:rsidRPr="00175FEE">
        <w:rPr>
          <w:rFonts w:ascii="Times New Roman" w:hAnsi="Times New Roman" w:cs="Times New Roman"/>
          <w:sz w:val="20"/>
          <w:szCs w:val="20"/>
        </w:rPr>
        <w:t xml:space="preserve">. If MSB </w:t>
      </w:r>
      <m:oMath>
        <m:r>
          <w:rPr>
            <w:rFonts w:ascii="Cambria Math" w:hAnsi="Cambria Math" w:cs="Times New Roman"/>
            <w:sz w:val="20"/>
            <w:szCs w:val="20"/>
          </w:rPr>
          <m:t>k</m:t>
        </m:r>
      </m:oMath>
      <w:r w:rsidRPr="00175FEE">
        <w:rPr>
          <w:rFonts w:ascii="Times New Roman" w:hAnsi="Times New Roman" w:cs="Times New Roman"/>
          <w:sz w:val="20"/>
          <w:szCs w:val="20"/>
        </w:rPr>
        <w:t xml:space="preserve">, </w:t>
      </w:r>
      <m:oMath>
        <m:r>
          <w:rPr>
            <w:rFonts w:ascii="Cambria Math" w:hAnsi="Cambria Math" w:cs="Times New Roman"/>
            <w:sz w:val="20"/>
            <w:szCs w:val="20"/>
          </w:rPr>
          <m:t>k≥1</m:t>
        </m:r>
      </m:oMath>
      <w:r w:rsidRPr="00175FEE">
        <w:rPr>
          <w:rFonts w:ascii="Times New Roman" w:hAnsi="Times New Roman" w:cs="Times New Roman"/>
          <w:sz w:val="20"/>
          <w:szCs w:val="20"/>
        </w:rPr>
        <w:t xml:space="preserve">, of </w:t>
      </w:r>
      <w:proofErr w:type="spellStart"/>
      <w:r w:rsidRPr="00175FEE">
        <w:rPr>
          <w:rFonts w:ascii="Times New Roman" w:hAnsi="Times New Roman" w:cs="Times New Roman"/>
          <w:i/>
          <w:sz w:val="20"/>
          <w:szCs w:val="20"/>
        </w:rPr>
        <w:t>ssb-PositionsInBurst</w:t>
      </w:r>
      <w:proofErr w:type="spellEnd"/>
      <w:r w:rsidRPr="00175FEE">
        <w:rPr>
          <w:rFonts w:ascii="Times New Roman" w:hAnsi="Times New Roman" w:cs="Times New Roman"/>
          <w:sz w:val="20"/>
          <w:szCs w:val="20"/>
        </w:rPr>
        <w:t xml:space="preserve"> is set to 1, the UE assumes that one or more SS/PBCH blocks within the discovery burst transmission window with candidate SS/PBCH block indexes corresponding to SS/PBCH block index equal to </w:t>
      </w:r>
      <m:oMath>
        <m:r>
          <w:rPr>
            <w:rFonts w:ascii="Cambria Math" w:hAnsi="Cambria Math" w:cs="Times New Roman"/>
            <w:sz w:val="20"/>
            <w:szCs w:val="20"/>
          </w:rPr>
          <m:t>k-1</m:t>
        </m:r>
      </m:oMath>
      <w:r w:rsidRPr="00175FEE">
        <w:rPr>
          <w:rFonts w:ascii="Times New Roman" w:hAnsi="Times New Roman" w:cs="Times New Roman"/>
          <w:sz w:val="20"/>
          <w:szCs w:val="20"/>
        </w:rPr>
        <w:t xml:space="preserve"> may be transmitted; if MSB </w:t>
      </w:r>
      <m:oMath>
        <m:r>
          <w:rPr>
            <w:rFonts w:ascii="Cambria Math" w:hAnsi="Cambria Math" w:cs="Times New Roman"/>
            <w:sz w:val="20"/>
            <w:szCs w:val="20"/>
          </w:rPr>
          <m:t>k</m:t>
        </m:r>
      </m:oMath>
      <w:r w:rsidRPr="00175FEE">
        <w:rPr>
          <w:rFonts w:ascii="Times New Roman" w:hAnsi="Times New Roman" w:cs="Times New Roman"/>
          <w:sz w:val="20"/>
          <w:szCs w:val="20"/>
        </w:rPr>
        <w:t xml:space="preserve"> is set to 0, the UE assumes that the SS/PBCH block(s) are not transmitted.</w:t>
      </w:r>
    </w:p>
    <w:p w14:paraId="152DE9DF" w14:textId="77777777" w:rsidR="000649DE" w:rsidRPr="00F903CA" w:rsidRDefault="000649DE" w:rsidP="000649DE">
      <w:pPr>
        <w:pStyle w:val="BodyText"/>
        <w:jc w:val="center"/>
      </w:pPr>
      <w:r>
        <w:t>*** Unchanged text omitted ***</w:t>
      </w:r>
    </w:p>
    <w:p w14:paraId="1D71DEFD" w14:textId="77777777" w:rsidR="000649DE" w:rsidRDefault="000649DE" w:rsidP="000649DE">
      <w:pPr>
        <w:pStyle w:val="BodyText"/>
      </w:pPr>
      <w:r w:rsidRPr="00BF0C27">
        <w:rPr>
          <w:highlight w:val="yellow"/>
        </w:rPr>
        <w:t>&gt;&gt;&gt; End Text Proposal &gt;&gt;&gt;</w:t>
      </w:r>
    </w:p>
    <w:p w14:paraId="72826CED" w14:textId="35D8C80A" w:rsidR="000649DE" w:rsidRDefault="000649DE" w:rsidP="000C61A4">
      <w:pPr>
        <w:rPr>
          <w:lang w:eastAsia="ja-JP"/>
        </w:rPr>
      </w:pPr>
    </w:p>
    <w:p w14:paraId="1B9EEE2D" w14:textId="726B478E" w:rsidR="006B3E70" w:rsidRDefault="006B3E70" w:rsidP="006B3E70">
      <w:pPr>
        <w:pStyle w:val="BodyText"/>
      </w:pPr>
      <w:r w:rsidRPr="00BF0C27">
        <w:rPr>
          <w:highlight w:val="yellow"/>
        </w:rPr>
        <w:t>&gt;&gt;&gt; Text Proposal for 38.</w:t>
      </w:r>
      <w:r>
        <w:rPr>
          <w:highlight w:val="yellow"/>
        </w:rPr>
        <w:t>213</w:t>
      </w:r>
      <w:r w:rsidRPr="00BF0C27">
        <w:rPr>
          <w:highlight w:val="yellow"/>
        </w:rPr>
        <w:t xml:space="preserve">, Section </w:t>
      </w:r>
      <w:r>
        <w:rPr>
          <w:highlight w:val="yellow"/>
        </w:rPr>
        <w:t>11.1.1</w:t>
      </w:r>
      <w:r w:rsidRPr="00BF0C27">
        <w:rPr>
          <w:highlight w:val="yellow"/>
        </w:rPr>
        <w:t xml:space="preserve"> &gt;&gt;&gt;</w:t>
      </w:r>
    </w:p>
    <w:p w14:paraId="2AD116B4" w14:textId="77777777" w:rsidR="00175FEE" w:rsidRPr="00F903CA" w:rsidRDefault="00175FEE" w:rsidP="00175FEE">
      <w:pPr>
        <w:pStyle w:val="BodyText"/>
        <w:jc w:val="center"/>
      </w:pPr>
      <w:r>
        <w:t>*** Unchanged text omitted ***</w:t>
      </w:r>
    </w:p>
    <w:p w14:paraId="417A1B41" w14:textId="77777777" w:rsidR="006B3E70" w:rsidRPr="009C5BFC" w:rsidRDefault="006B3E70" w:rsidP="006B3E70">
      <w:pPr>
        <w:rPr>
          <w:rFonts w:ascii="Times New Roman" w:eastAsia="Times New Roman" w:hAnsi="Times New Roman" w:cs="Times New Roman"/>
          <w:sz w:val="20"/>
          <w:szCs w:val="20"/>
        </w:rPr>
      </w:pPr>
      <w:r w:rsidRPr="009C5BFC">
        <w:rPr>
          <w:rFonts w:ascii="Times New Roman" w:hAnsi="Times New Roman" w:cs="Times New Roman"/>
        </w:rPr>
        <w:t xml:space="preserve">For a set of symbols of a slot that are indicated as flexible by </w:t>
      </w:r>
      <w:proofErr w:type="spellStart"/>
      <w:r w:rsidRPr="009C5BFC">
        <w:rPr>
          <w:rFonts w:ascii="Times New Roman" w:hAnsi="Times New Roman" w:cs="Times New Roman"/>
          <w:i/>
        </w:rPr>
        <w:t>tdd</w:t>
      </w:r>
      <w:proofErr w:type="spellEnd"/>
      <w:r w:rsidRPr="009C5BFC">
        <w:rPr>
          <w:rFonts w:ascii="Times New Roman" w:hAnsi="Times New Roman" w:cs="Times New Roman"/>
          <w:i/>
        </w:rPr>
        <w:t>-UL-DL-</w:t>
      </w:r>
      <w:proofErr w:type="spellStart"/>
      <w:r w:rsidRPr="009C5BFC">
        <w:rPr>
          <w:rFonts w:ascii="Times New Roman" w:hAnsi="Times New Roman" w:cs="Times New Roman"/>
          <w:i/>
        </w:rPr>
        <w:t>ConfigurationCommon</w:t>
      </w:r>
      <w:proofErr w:type="spellEnd"/>
      <w:r w:rsidRPr="009C5BFC">
        <w:rPr>
          <w:rFonts w:ascii="Times New Roman" w:hAnsi="Times New Roman" w:cs="Times New Roman"/>
        </w:rPr>
        <w:t xml:space="preserve">, and </w:t>
      </w:r>
      <w:proofErr w:type="spellStart"/>
      <w:r w:rsidRPr="009C5BFC">
        <w:rPr>
          <w:rFonts w:ascii="Times New Roman" w:hAnsi="Times New Roman" w:cs="Times New Roman"/>
          <w:i/>
        </w:rPr>
        <w:t>tdd</w:t>
      </w:r>
      <w:proofErr w:type="spellEnd"/>
      <w:r w:rsidRPr="009C5BFC">
        <w:rPr>
          <w:rFonts w:ascii="Times New Roman" w:hAnsi="Times New Roman" w:cs="Times New Roman"/>
          <w:i/>
        </w:rPr>
        <w:t>-UL-DL-</w:t>
      </w:r>
      <w:proofErr w:type="spellStart"/>
      <w:r w:rsidRPr="009C5BFC">
        <w:rPr>
          <w:rFonts w:ascii="Times New Roman" w:hAnsi="Times New Roman" w:cs="Times New Roman"/>
          <w:i/>
        </w:rPr>
        <w:t>ConfigurationDedicated</w:t>
      </w:r>
      <w:proofErr w:type="spellEnd"/>
      <w:r w:rsidRPr="009C5BFC">
        <w:rPr>
          <w:rFonts w:ascii="Times New Roman" w:eastAsia="DengXian" w:hAnsi="Times New Roman" w:cs="Times New Roman"/>
          <w:lang w:eastAsia="zh-CN"/>
        </w:rPr>
        <w:t xml:space="preserve"> if provided</w:t>
      </w:r>
      <w:r w:rsidRPr="009C5BFC">
        <w:rPr>
          <w:rFonts w:ascii="Times New Roman" w:hAnsi="Times New Roman" w:cs="Times New Roman"/>
        </w:rPr>
        <w:t xml:space="preserve">, or when </w:t>
      </w:r>
      <w:proofErr w:type="spellStart"/>
      <w:r w:rsidRPr="009C5BFC">
        <w:rPr>
          <w:rFonts w:ascii="Times New Roman" w:hAnsi="Times New Roman" w:cs="Times New Roman"/>
          <w:i/>
        </w:rPr>
        <w:t>tdd</w:t>
      </w:r>
      <w:proofErr w:type="spellEnd"/>
      <w:r w:rsidRPr="009C5BFC">
        <w:rPr>
          <w:rFonts w:ascii="Times New Roman" w:hAnsi="Times New Roman" w:cs="Times New Roman"/>
          <w:i/>
        </w:rPr>
        <w:t>-UL-DL-</w:t>
      </w:r>
      <w:proofErr w:type="spellStart"/>
      <w:r w:rsidRPr="009C5BFC">
        <w:rPr>
          <w:rFonts w:ascii="Times New Roman" w:hAnsi="Times New Roman" w:cs="Times New Roman"/>
          <w:i/>
        </w:rPr>
        <w:t>ConfigurationCommon</w:t>
      </w:r>
      <w:proofErr w:type="spellEnd"/>
      <w:r w:rsidRPr="009C5BFC">
        <w:rPr>
          <w:rFonts w:ascii="Times New Roman" w:hAnsi="Times New Roman" w:cs="Times New Roman"/>
        </w:rPr>
        <w:t xml:space="preserve">, and </w:t>
      </w:r>
      <w:proofErr w:type="spellStart"/>
      <w:r w:rsidRPr="009C5BFC">
        <w:rPr>
          <w:rFonts w:ascii="Times New Roman" w:hAnsi="Times New Roman" w:cs="Times New Roman"/>
          <w:i/>
        </w:rPr>
        <w:t>tdd</w:t>
      </w:r>
      <w:proofErr w:type="spellEnd"/>
      <w:r w:rsidRPr="009C5BFC">
        <w:rPr>
          <w:rFonts w:ascii="Times New Roman" w:hAnsi="Times New Roman" w:cs="Times New Roman"/>
          <w:i/>
        </w:rPr>
        <w:t>-UL-DL-</w:t>
      </w:r>
      <w:proofErr w:type="spellStart"/>
      <w:r w:rsidRPr="009C5BFC">
        <w:rPr>
          <w:rFonts w:ascii="Times New Roman" w:hAnsi="Times New Roman" w:cs="Times New Roman"/>
          <w:i/>
        </w:rPr>
        <w:lastRenderedPageBreak/>
        <w:t>ConfigurationDedicated</w:t>
      </w:r>
      <w:proofErr w:type="spellEnd"/>
      <w:r w:rsidRPr="009C5BFC">
        <w:rPr>
          <w:rFonts w:ascii="Times New Roman" w:hAnsi="Times New Roman" w:cs="Times New Roman"/>
        </w:rPr>
        <w:t xml:space="preserve"> are not provided to the UE, and if the UE does not </w:t>
      </w:r>
      <w:r w:rsidRPr="009C5BFC">
        <w:rPr>
          <w:rFonts w:ascii="Times New Roman" w:eastAsia="SimSun" w:hAnsi="Times New Roman" w:cs="Times New Roman"/>
          <w:lang w:eastAsia="zh-CN"/>
        </w:rPr>
        <w:t>detect a DCI format 2_0</w:t>
      </w:r>
      <w:r w:rsidRPr="009C5BFC">
        <w:rPr>
          <w:rFonts w:ascii="Times New Roman" w:hAnsi="Times New Roman" w:cs="Times New Roman"/>
        </w:rPr>
        <w:t xml:space="preserve"> </w:t>
      </w:r>
      <w:r w:rsidRPr="009C5BFC">
        <w:rPr>
          <w:rFonts w:ascii="Times New Roman" w:eastAsia="SimSun" w:hAnsi="Times New Roman" w:cs="Times New Roman"/>
          <w:lang w:eastAsia="zh-CN"/>
        </w:rPr>
        <w:t>providing a slot format for the slot</w:t>
      </w:r>
    </w:p>
    <w:p w14:paraId="7A343583" w14:textId="77777777" w:rsidR="00FD334E" w:rsidRPr="00F903CA" w:rsidRDefault="00FD334E" w:rsidP="00FD334E">
      <w:pPr>
        <w:pStyle w:val="BodyText"/>
        <w:jc w:val="center"/>
      </w:pPr>
      <w:r>
        <w:t>*** Unchanged text omitted ***</w:t>
      </w:r>
    </w:p>
    <w:p w14:paraId="4497E7DE" w14:textId="0F94E166" w:rsidR="006B3E70" w:rsidRPr="00290A61" w:rsidRDefault="006B3E70" w:rsidP="006B3E70">
      <w:pPr>
        <w:pStyle w:val="B1"/>
        <w:rPr>
          <w:rFonts w:cs="Times New Roman"/>
        </w:rPr>
      </w:pPr>
      <w:r w:rsidRPr="009C5BFC">
        <w:rPr>
          <w:rFonts w:cs="Times New Roman"/>
        </w:rPr>
        <w:t>-</w:t>
      </w:r>
      <w:r w:rsidRPr="009C5BFC">
        <w:rPr>
          <w:rFonts w:cs="Times New Roman"/>
        </w:rPr>
        <w:tab/>
        <w:t>if the UE is configured by higher layers to transmit SRS, or PUCCH, or PUSCH, or PRACH in the set of symbols of the slot and the UE is not provided</w:t>
      </w:r>
      <w:r w:rsidRPr="009C5BFC">
        <w:rPr>
          <w:rFonts w:cs="Times New Roman"/>
          <w:i/>
        </w:rPr>
        <w:t xml:space="preserve"> </w:t>
      </w:r>
      <w:r w:rsidRPr="004C0921">
        <w:rPr>
          <w:rFonts w:eastAsia="Malgun Gothic" w:cs="Times New Roman"/>
          <w:i/>
          <w:strike/>
          <w:color w:val="FF0000"/>
        </w:rPr>
        <w:t>E</w:t>
      </w:r>
      <w:r w:rsidRPr="004C0921">
        <w:rPr>
          <w:rFonts w:eastAsia="Malgun Gothic" w:cs="Times New Roman"/>
          <w:i/>
          <w:color w:val="FF0000"/>
        </w:rPr>
        <w:t>e</w:t>
      </w:r>
      <w:r w:rsidRPr="009C5BFC">
        <w:rPr>
          <w:rFonts w:eastAsia="Malgun Gothic" w:cs="Times New Roman"/>
          <w:i/>
        </w:rPr>
        <w:t>nableConfiguredUL-r16</w:t>
      </w:r>
      <w:r w:rsidRPr="009C5BFC">
        <w:rPr>
          <w:rFonts w:cs="Times New Roman"/>
        </w:rPr>
        <w:t xml:space="preserve">, the UE </w:t>
      </w:r>
    </w:p>
    <w:p w14:paraId="471EB67D" w14:textId="77777777" w:rsidR="00FD334E" w:rsidRPr="00F903CA" w:rsidRDefault="00FD334E" w:rsidP="00FD334E">
      <w:pPr>
        <w:pStyle w:val="BodyText"/>
        <w:jc w:val="center"/>
      </w:pPr>
      <w:r>
        <w:t>*** Unchanged text omitted ***</w:t>
      </w:r>
    </w:p>
    <w:p w14:paraId="0D019A6F" w14:textId="64CCA79B" w:rsidR="006B3E70" w:rsidRPr="009C5BFC" w:rsidRDefault="006B3E70" w:rsidP="006B3E70">
      <w:pPr>
        <w:pStyle w:val="B1"/>
        <w:rPr>
          <w:rFonts w:eastAsia="Times New Roman" w:cs="Times New Roman"/>
        </w:rPr>
      </w:pPr>
      <w:r w:rsidRPr="009C5BFC">
        <w:rPr>
          <w:rFonts w:cs="Times New Roman"/>
        </w:rPr>
        <w:t>-</w:t>
      </w:r>
      <w:r w:rsidRPr="009C5BFC">
        <w:rPr>
          <w:rFonts w:cs="Times New Roman"/>
        </w:rPr>
        <w:tab/>
        <w:t xml:space="preserve">if the UE is configured by higher layers to transmit SRS, or PUCCH, or PUSCH, or PRACH in the set of symbols of the slot and the UE is provided </w:t>
      </w:r>
      <w:r w:rsidRPr="004C0921">
        <w:rPr>
          <w:rFonts w:eastAsia="Malgun Gothic" w:cs="Times New Roman"/>
          <w:i/>
          <w:strike/>
          <w:color w:val="FF0000"/>
        </w:rPr>
        <w:t>E</w:t>
      </w:r>
      <w:r w:rsidRPr="004C0921">
        <w:rPr>
          <w:rFonts w:eastAsia="Malgun Gothic" w:cs="Times New Roman"/>
          <w:i/>
          <w:color w:val="FF0000"/>
        </w:rPr>
        <w:t>e</w:t>
      </w:r>
      <w:r w:rsidRPr="009C5BFC">
        <w:rPr>
          <w:rFonts w:eastAsia="Malgun Gothic" w:cs="Times New Roman"/>
          <w:i/>
        </w:rPr>
        <w:t>nableConfiguredUL-r16</w:t>
      </w:r>
      <w:r w:rsidRPr="009C5BFC">
        <w:rPr>
          <w:rFonts w:cs="Times New Roman"/>
        </w:rPr>
        <w:t>, the UE can transmit the SRS, or PUCCH, or PUSCH, or PRACH, respectively.</w:t>
      </w:r>
    </w:p>
    <w:p w14:paraId="3EB77816" w14:textId="77777777" w:rsidR="006B3E70" w:rsidRPr="00F903CA" w:rsidRDefault="006B3E70" w:rsidP="006B3E70">
      <w:pPr>
        <w:pStyle w:val="BodyText"/>
        <w:jc w:val="center"/>
      </w:pPr>
      <w:r>
        <w:t>*** Unchanged text omitted ***</w:t>
      </w:r>
    </w:p>
    <w:p w14:paraId="1F86C088" w14:textId="11E97DF3" w:rsidR="006B3E70" w:rsidRDefault="006B3E70" w:rsidP="006B3E70">
      <w:pPr>
        <w:pStyle w:val="BodyText"/>
      </w:pPr>
      <w:r w:rsidRPr="00BF0C27">
        <w:rPr>
          <w:highlight w:val="yellow"/>
        </w:rPr>
        <w:t>&gt;&gt;&gt; End Text Proposal &gt;&gt;&gt;</w:t>
      </w:r>
    </w:p>
    <w:p w14:paraId="45919B82" w14:textId="77777777" w:rsidR="009C5BFC" w:rsidRDefault="009C5BFC" w:rsidP="006B3E70">
      <w:pPr>
        <w:pStyle w:val="BodyText"/>
      </w:pPr>
    </w:p>
    <w:p w14:paraId="421D9EAD" w14:textId="0AB5ABBD" w:rsidR="000C61A4" w:rsidRPr="00290A61" w:rsidRDefault="000C61A4" w:rsidP="000C61A4">
      <w:pPr>
        <w:pStyle w:val="Heading2"/>
        <w:rPr>
          <w:lang w:val="en-US"/>
        </w:rPr>
      </w:pPr>
      <w:r w:rsidRPr="00290A61">
        <w:rPr>
          <w:lang w:val="en-US"/>
        </w:rPr>
        <w:t>A.</w:t>
      </w:r>
      <w:r w:rsidR="008C04A7" w:rsidRPr="00290A61">
        <w:rPr>
          <w:lang w:val="en-US"/>
        </w:rPr>
        <w:t>4</w:t>
      </w:r>
      <w:r w:rsidR="00E25619" w:rsidRPr="00290A61">
        <w:rPr>
          <w:lang w:val="en-US"/>
        </w:rPr>
        <w:tab/>
      </w:r>
      <w:r w:rsidR="000B31B8" w:rsidRPr="00290A61">
        <w:rPr>
          <w:lang w:val="en-US"/>
        </w:rPr>
        <w:t xml:space="preserve">Correction </w:t>
      </w:r>
      <w:r w:rsidR="008C04A7" w:rsidRPr="00290A61">
        <w:rPr>
          <w:lang w:val="en-US"/>
        </w:rPr>
        <w:t>of</w:t>
      </w:r>
      <w:r w:rsidR="000B31B8" w:rsidRPr="00290A61">
        <w:rPr>
          <w:lang w:val="en-US"/>
        </w:rPr>
        <w:t xml:space="preserve"> notation – remove quotation marks</w:t>
      </w:r>
    </w:p>
    <w:p w14:paraId="195153E6" w14:textId="58B48A30" w:rsidR="000C61A4" w:rsidRDefault="000C61A4" w:rsidP="000C61A4">
      <w:pPr>
        <w:pStyle w:val="BodyText"/>
      </w:pPr>
      <w:r w:rsidRPr="00BF0C27">
        <w:rPr>
          <w:highlight w:val="yellow"/>
        </w:rPr>
        <w:t>&gt;&gt;&gt; Text Proposal for 38.</w:t>
      </w:r>
      <w:r>
        <w:rPr>
          <w:highlight w:val="yellow"/>
        </w:rPr>
        <w:t>213</w:t>
      </w:r>
      <w:r w:rsidRPr="00BF0C27">
        <w:rPr>
          <w:highlight w:val="yellow"/>
        </w:rPr>
        <w:t xml:space="preserve">, Section </w:t>
      </w:r>
      <w:r>
        <w:rPr>
          <w:highlight w:val="yellow"/>
        </w:rPr>
        <w:t>4.1</w:t>
      </w:r>
      <w:r w:rsidRPr="00BF0C27">
        <w:rPr>
          <w:highlight w:val="yellow"/>
        </w:rPr>
        <w:t xml:space="preserve"> &gt;&gt;&gt;</w:t>
      </w:r>
    </w:p>
    <w:p w14:paraId="0880D12E" w14:textId="18E2FA0C" w:rsidR="000C61A4" w:rsidRPr="004C0921" w:rsidRDefault="000C61A4" w:rsidP="004C0921">
      <w:pPr>
        <w:pStyle w:val="BodyText"/>
        <w:jc w:val="center"/>
      </w:pPr>
      <w:r>
        <w:t>*** Unchanged text omitted ***</w:t>
      </w:r>
    </w:p>
    <w:p w14:paraId="2C3537A2" w14:textId="77777777" w:rsidR="000C61A4" w:rsidRPr="009C5BFC" w:rsidRDefault="000C61A4" w:rsidP="000C61A4">
      <w:pPr>
        <w:spacing w:line="256" w:lineRule="auto"/>
        <w:rPr>
          <w:rFonts w:ascii="Times New Roman" w:eastAsia="Times New Roman" w:hAnsi="Times New Roman" w:cs="Times New Roman"/>
          <w:sz w:val="20"/>
          <w:szCs w:val="20"/>
        </w:rPr>
      </w:pPr>
      <w:r w:rsidRPr="009C5BFC">
        <w:rPr>
          <w:rFonts w:ascii="Times New Roman" w:hAnsi="Times New Roman" w:cs="Times New Roman"/>
          <w:sz w:val="20"/>
          <w:szCs w:val="20"/>
        </w:rPr>
        <w:t>For operation with shared spectrum channel access, a UE assumes that SS/PBCH blocks in a serving cell that are within a same discovery burst transmission window or across discovery burst transmission windows are quasi co-located with respect to average gain, QCL-</w:t>
      </w:r>
      <w:proofErr w:type="spellStart"/>
      <w:r w:rsidRPr="009C5BFC">
        <w:rPr>
          <w:rFonts w:ascii="Times New Roman" w:hAnsi="Times New Roman" w:cs="Times New Roman"/>
          <w:sz w:val="20"/>
          <w:szCs w:val="20"/>
        </w:rPr>
        <w:t>TypeA</w:t>
      </w:r>
      <w:proofErr w:type="spellEnd"/>
      <w:r w:rsidRPr="009C5BFC">
        <w:rPr>
          <w:rFonts w:ascii="Times New Roman" w:hAnsi="Times New Roman" w:cs="Times New Roman"/>
          <w:sz w:val="20"/>
          <w:szCs w:val="20"/>
        </w:rPr>
        <w:t>, and QCL-</w:t>
      </w:r>
      <w:proofErr w:type="spellStart"/>
      <w:r w:rsidRPr="009C5BFC">
        <w:rPr>
          <w:rFonts w:ascii="Times New Roman" w:hAnsi="Times New Roman" w:cs="Times New Roman"/>
          <w:sz w:val="20"/>
          <w:szCs w:val="20"/>
        </w:rPr>
        <w:t>TypeD</w:t>
      </w:r>
      <w:proofErr w:type="spellEnd"/>
      <w:r w:rsidRPr="009C5BFC">
        <w:rPr>
          <w:rFonts w:ascii="Times New Roman" w:hAnsi="Times New Roman" w:cs="Times New Roman"/>
          <w:sz w:val="20"/>
          <w:szCs w:val="20"/>
        </w:rPr>
        <w:t xml:space="preserve"> properties, when applicable</w:t>
      </w:r>
      <w:r w:rsidRPr="009C5BFC">
        <w:rPr>
          <w:rFonts w:ascii="Times New Roman" w:eastAsia="SimSun" w:hAnsi="Times New Roman" w:cs="Times New Roman"/>
          <w:kern w:val="2"/>
          <w:sz w:val="20"/>
          <w:szCs w:val="20"/>
          <w:lang w:eastAsia="zh-CN"/>
        </w:rPr>
        <w:t xml:space="preserve"> [6, TS 38.214], if a value of </w:t>
      </w:r>
      <m:oMath>
        <m:d>
          <m:dPr>
            <m:ctrlPr>
              <w:rPr>
                <w:rFonts w:ascii="Cambria Math" w:hAnsi="Cambria Math" w:cs="Times New Roman"/>
                <w:i/>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DM-RS</m:t>
                </m:r>
              </m:sub>
              <m:sup>
                <m:r>
                  <w:rPr>
                    <w:rFonts w:ascii="Cambria Math" w:hAnsi="Cambria Math" w:cs="Times New Roman"/>
                    <w:sz w:val="20"/>
                    <w:szCs w:val="20"/>
                  </w:rPr>
                  <m:t>PBCH</m:t>
                </m:r>
              </m:sup>
            </m:sSubSup>
            <m:func>
              <m:funcPr>
                <m:ctrlPr>
                  <w:rPr>
                    <w:rFonts w:ascii="Cambria Math" w:hAnsi="Cambria Math" w:cs="Times New Roman"/>
                    <w:i/>
                    <w:sz w:val="20"/>
                    <w:szCs w:val="20"/>
                  </w:rPr>
                </m:ctrlPr>
              </m:funcPr>
              <m:fName>
                <m:r>
                  <m:rPr>
                    <m:sty m:val="p"/>
                  </m:rPr>
                  <w:rPr>
                    <w:rFonts w:ascii="Cambria Math" w:hAnsi="Cambria Math" w:cs="Times New Roman"/>
                    <w:sz w:val="20"/>
                    <w:szCs w:val="20"/>
                  </w:rPr>
                  <m:t>mod</m:t>
                </m:r>
              </m:fName>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SSB</m:t>
                    </m:r>
                  </m:sub>
                  <m:sup>
                    <m:r>
                      <w:rPr>
                        <w:rFonts w:ascii="Cambria Math" w:hAnsi="Cambria Math" w:cs="Times New Roman"/>
                        <w:sz w:val="20"/>
                        <w:szCs w:val="20"/>
                      </w:rPr>
                      <m:t>QCL</m:t>
                    </m:r>
                  </m:sup>
                </m:sSubSup>
              </m:e>
            </m:func>
          </m:e>
        </m:d>
      </m:oMath>
      <w:r w:rsidRPr="009C5BFC">
        <w:rPr>
          <w:rFonts w:ascii="Times New Roman" w:hAnsi="Times New Roman" w:cs="Times New Roman"/>
          <w:sz w:val="20"/>
          <w:szCs w:val="20"/>
        </w:rPr>
        <w:t xml:space="preserve"> is same among the SS/PBCH blocks.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DM-RS</m:t>
            </m:r>
          </m:sub>
          <m:sup>
            <m:r>
              <w:rPr>
                <w:rFonts w:ascii="Cambria Math" w:hAnsi="Cambria Math" w:cs="Times New Roman"/>
                <w:sz w:val="20"/>
                <w:szCs w:val="20"/>
              </w:rPr>
              <m:t>PBCH</m:t>
            </m:r>
          </m:sup>
        </m:sSubSup>
      </m:oMath>
      <w:r w:rsidRPr="009C5BFC">
        <w:rPr>
          <w:rFonts w:ascii="Times New Roman" w:hAnsi="Times New Roman" w:cs="Times New Roman"/>
          <w:sz w:val="20"/>
          <w:szCs w:val="20"/>
        </w:rPr>
        <w:t xml:space="preserve"> is an </w:t>
      </w:r>
      <w:r w:rsidRPr="009C5BFC">
        <w:rPr>
          <w:rFonts w:ascii="Times New Roman" w:hAnsi="Times New Roman" w:cs="Times New Roman"/>
          <w:sz w:val="20"/>
          <w:szCs w:val="20"/>
          <w:lang w:eastAsia="ja-JP"/>
        </w:rPr>
        <w:t xml:space="preserve">index of a DM-RS sequence transmitted in a PBCH of a corresponding SS/PBCH block,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SSB</m:t>
            </m:r>
          </m:sub>
          <m:sup>
            <m:r>
              <w:rPr>
                <w:rFonts w:ascii="Cambria Math" w:hAnsi="Cambria Math" w:cs="Times New Roman"/>
                <w:sz w:val="20"/>
                <w:szCs w:val="20"/>
              </w:rPr>
              <m:t>QCL</m:t>
            </m:r>
          </m:sup>
        </m:sSubSup>
      </m:oMath>
      <w:r w:rsidRPr="009C5BFC">
        <w:rPr>
          <w:rFonts w:ascii="Times New Roman" w:hAnsi="Times New Roman" w:cs="Times New Roman"/>
          <w:sz w:val="20"/>
          <w:szCs w:val="20"/>
        </w:rPr>
        <w:t xml:space="preserve"> is either provided by </w:t>
      </w:r>
      <w:r w:rsidRPr="009C5BFC">
        <w:rPr>
          <w:rFonts w:ascii="Times New Roman" w:hAnsi="Times New Roman" w:cs="Times New Roman"/>
          <w:i/>
          <w:sz w:val="20"/>
          <w:szCs w:val="20"/>
        </w:rPr>
        <w:t>ssbPositionQCL-Relationship-r16</w:t>
      </w:r>
      <w:r w:rsidRPr="009C5BFC">
        <w:rPr>
          <w:rFonts w:ascii="Times New Roman" w:hAnsi="Times New Roman" w:cs="Times New Roman"/>
          <w:sz w:val="20"/>
          <w:szCs w:val="20"/>
        </w:rPr>
        <w:t xml:space="preserve"> or, if </w:t>
      </w:r>
      <w:r w:rsidRPr="009C5BFC">
        <w:rPr>
          <w:rFonts w:ascii="Times New Roman" w:hAnsi="Times New Roman" w:cs="Times New Roman"/>
          <w:i/>
          <w:sz w:val="20"/>
          <w:szCs w:val="20"/>
        </w:rPr>
        <w:t>ssbPositionQCL-Relationship-r16</w:t>
      </w:r>
      <w:r w:rsidRPr="009C5BFC">
        <w:rPr>
          <w:rFonts w:ascii="Times New Roman" w:hAnsi="Times New Roman" w:cs="Times New Roman"/>
          <w:sz w:val="20"/>
          <w:szCs w:val="20"/>
        </w:rPr>
        <w:t xml:space="preserve"> is not provided,</w:t>
      </w:r>
      <w:r w:rsidRPr="009C5BFC">
        <w:rPr>
          <w:rFonts w:ascii="Times New Roman" w:hAnsi="Times New Roman" w:cs="Times New Roman"/>
          <w:i/>
          <w:sz w:val="20"/>
          <w:szCs w:val="20"/>
        </w:rPr>
        <w:t xml:space="preserve"> </w:t>
      </w:r>
      <w:r w:rsidRPr="009C5BFC">
        <w:rPr>
          <w:rFonts w:ascii="Times New Roman" w:hAnsi="Times New Roman" w:cs="Times New Roman"/>
          <w:sz w:val="20"/>
          <w:szCs w:val="20"/>
        </w:rPr>
        <w:t xml:space="preserve">obtained from a </w:t>
      </w:r>
      <w:r w:rsidRPr="009C5BFC">
        <w:rPr>
          <w:rFonts w:ascii="Times New Roman" w:hAnsi="Times New Roman" w:cs="Times New Roman"/>
          <w:i/>
          <w:sz w:val="20"/>
          <w:szCs w:val="20"/>
        </w:rPr>
        <w:t>MIB</w:t>
      </w:r>
      <w:r w:rsidRPr="009C5BFC">
        <w:rPr>
          <w:rFonts w:ascii="Times New Roman" w:hAnsi="Times New Roman" w:cs="Times New Roman"/>
          <w:sz w:val="20"/>
          <w:szCs w:val="20"/>
        </w:rPr>
        <w:t xml:space="preserve"> </w:t>
      </w:r>
      <w:r w:rsidRPr="009C5BFC">
        <w:rPr>
          <w:rFonts w:ascii="Times New Roman" w:hAnsi="Times New Roman" w:cs="Times New Roman"/>
          <w:sz w:val="20"/>
          <w:szCs w:val="20"/>
          <w:lang w:eastAsia="ja-JP"/>
        </w:rPr>
        <w:t>provided by a SS/PBCH block</w:t>
      </w:r>
      <w:r w:rsidRPr="009C5BFC">
        <w:rPr>
          <w:rFonts w:ascii="Times New Roman" w:hAnsi="Times New Roman" w:cs="Times New Roman"/>
          <w:sz w:val="20"/>
          <w:szCs w:val="20"/>
        </w:rPr>
        <w:t xml:space="preserve"> according to Table 4-1. </w:t>
      </w:r>
      <w:proofErr w:type="spellStart"/>
      <w:r w:rsidRPr="009C5BFC">
        <w:rPr>
          <w:rFonts w:ascii="Times New Roman" w:hAnsi="Times New Roman" w:cs="Times New Roman"/>
          <w:i/>
          <w:iCs/>
          <w:sz w:val="20"/>
          <w:szCs w:val="20"/>
        </w:rPr>
        <w:t>ssbSubcarrierSpacingCommon</w:t>
      </w:r>
      <w:proofErr w:type="spellEnd"/>
      <w:r w:rsidRPr="009C5BFC">
        <w:rPr>
          <w:rFonts w:ascii="Times New Roman" w:hAnsi="Times New Roman" w:cs="Times New Roman"/>
          <w:sz w:val="20"/>
          <w:szCs w:val="20"/>
        </w:rPr>
        <w:t xml:space="preserve"> indicates SCS of RMSI only for the case of </w:t>
      </w:r>
      <w:r w:rsidRPr="004C0921">
        <w:rPr>
          <w:rFonts w:ascii="Times New Roman" w:hAnsi="Times New Roman" w:cs="Times New Roman"/>
          <w:strike/>
          <w:color w:val="FF0000"/>
          <w:sz w:val="20"/>
          <w:szCs w:val="20"/>
        </w:rPr>
        <w:t>"</w:t>
      </w:r>
      <w:r w:rsidRPr="009C5BFC">
        <w:rPr>
          <w:rFonts w:ascii="Times New Roman" w:hAnsi="Times New Roman" w:cs="Times New Roman"/>
          <w:sz w:val="20"/>
          <w:szCs w:val="20"/>
        </w:rPr>
        <w:t xml:space="preserve">operation without shared </w:t>
      </w:r>
      <w:proofErr w:type="spellStart"/>
      <w:r w:rsidRPr="009C5BFC">
        <w:rPr>
          <w:rFonts w:ascii="Times New Roman" w:hAnsi="Times New Roman" w:cs="Times New Roman"/>
          <w:sz w:val="20"/>
          <w:szCs w:val="20"/>
        </w:rPr>
        <w:t>spectrum</w:t>
      </w:r>
      <w:r w:rsidRPr="004C0921">
        <w:rPr>
          <w:rFonts w:ascii="Times New Roman" w:hAnsi="Times New Roman" w:cs="Times New Roman"/>
          <w:strike/>
          <w:color w:val="FF0000"/>
          <w:sz w:val="20"/>
          <w:szCs w:val="20"/>
        </w:rPr>
        <w:t>"</w:t>
      </w:r>
      <w:r w:rsidRPr="009C5BFC">
        <w:rPr>
          <w:rFonts w:ascii="Times New Roman" w:hAnsi="Times New Roman" w:cs="Times New Roman"/>
          <w:sz w:val="20"/>
          <w:szCs w:val="20"/>
        </w:rPr>
        <w:t>.The</w:t>
      </w:r>
      <w:proofErr w:type="spellEnd"/>
      <w:r w:rsidRPr="009C5BFC">
        <w:rPr>
          <w:rFonts w:ascii="Times New Roman" w:hAnsi="Times New Roman" w:cs="Times New Roman"/>
          <w:sz w:val="20"/>
          <w:szCs w:val="20"/>
        </w:rPr>
        <w:t xml:space="preserve"> UE assumes that within a discovery burst transmission window, a number of transmitted SS/PBCH blocks on a serving cell is not larger than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SSB</m:t>
            </m:r>
          </m:sub>
          <m:sup>
            <m:r>
              <w:rPr>
                <w:rFonts w:ascii="Cambria Math" w:hAnsi="Cambria Math" w:cs="Times New Roman"/>
                <w:sz w:val="20"/>
                <w:szCs w:val="20"/>
              </w:rPr>
              <m:t>QCL</m:t>
            </m:r>
          </m:sup>
        </m:sSubSup>
      </m:oMath>
      <w:r w:rsidRPr="009C5BFC">
        <w:rPr>
          <w:rFonts w:ascii="Times New Roman" w:hAnsi="Times New Roman" w:cs="Times New Roman"/>
          <w:sz w:val="20"/>
          <w:szCs w:val="20"/>
        </w:rPr>
        <w:t xml:space="preserve">. The UE can determine an SS/PBCH block index according to </w:t>
      </w:r>
      <m:oMath>
        <m:d>
          <m:dPr>
            <m:ctrlPr>
              <w:rPr>
                <w:rFonts w:ascii="Cambria Math" w:hAnsi="Cambria Math" w:cs="Times New Roman"/>
                <w:i/>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DM-RS</m:t>
                </m:r>
              </m:sub>
              <m:sup>
                <m:r>
                  <w:rPr>
                    <w:rFonts w:ascii="Cambria Math" w:hAnsi="Cambria Math" w:cs="Times New Roman"/>
                    <w:sz w:val="20"/>
                    <w:szCs w:val="20"/>
                  </w:rPr>
                  <m:t>PBCH</m:t>
                </m:r>
              </m:sup>
            </m:sSubSup>
            <m:func>
              <m:funcPr>
                <m:ctrlPr>
                  <w:rPr>
                    <w:rFonts w:ascii="Cambria Math" w:hAnsi="Cambria Math" w:cs="Times New Roman"/>
                    <w:i/>
                    <w:sz w:val="20"/>
                    <w:szCs w:val="20"/>
                  </w:rPr>
                </m:ctrlPr>
              </m:funcPr>
              <m:fName>
                <m:r>
                  <m:rPr>
                    <m:sty m:val="p"/>
                  </m:rPr>
                  <w:rPr>
                    <w:rFonts w:ascii="Cambria Math" w:hAnsi="Cambria Math" w:cs="Times New Roman"/>
                    <w:sz w:val="20"/>
                    <w:szCs w:val="20"/>
                  </w:rPr>
                  <m:t>mod</m:t>
                </m:r>
              </m:fName>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SSB</m:t>
                    </m:r>
                  </m:sub>
                  <m:sup>
                    <m:r>
                      <w:rPr>
                        <w:rFonts w:ascii="Cambria Math" w:hAnsi="Cambria Math" w:cs="Times New Roman"/>
                        <w:sz w:val="20"/>
                        <w:szCs w:val="20"/>
                      </w:rPr>
                      <m:t>QCL</m:t>
                    </m:r>
                  </m:sup>
                </m:sSubSup>
              </m:e>
            </m:func>
          </m:e>
        </m:d>
      </m:oMath>
      <w:r w:rsidRPr="009C5BFC">
        <w:rPr>
          <w:rFonts w:ascii="Times New Roman" w:hAnsi="Times New Roman" w:cs="Times New Roman"/>
          <w:sz w:val="20"/>
          <w:szCs w:val="20"/>
        </w:rPr>
        <w:t xml:space="preserve">, or according to </w:t>
      </w:r>
      <m:oMath>
        <m:d>
          <m:dPr>
            <m:ctrlPr>
              <w:rPr>
                <w:rFonts w:ascii="Cambria Math" w:hAnsi="Cambria Math" w:cs="Times New Roman"/>
                <w:i/>
                <w:sz w:val="20"/>
                <w:szCs w:val="20"/>
              </w:rPr>
            </m:ctrlPr>
          </m:dPr>
          <m:e>
            <m:acc>
              <m:accPr>
                <m:chr m:val="̅"/>
                <m:ctrlPr>
                  <w:rPr>
                    <w:rFonts w:ascii="Cambria Math" w:hAnsi="Cambria Math" w:cs="Times New Roman"/>
                    <w:i/>
                    <w:sz w:val="20"/>
                    <w:szCs w:val="20"/>
                  </w:rPr>
                </m:ctrlPr>
              </m:accPr>
              <m:e>
                <m:r>
                  <w:rPr>
                    <w:rFonts w:ascii="Cambria Math" w:hAnsi="Cambria Math" w:cs="Times New Roman"/>
                    <w:sz w:val="20"/>
                    <w:szCs w:val="20"/>
                  </w:rPr>
                  <m:t>i</m:t>
                </m:r>
              </m:e>
            </m:acc>
            <m:r>
              <w:rPr>
                <w:rFonts w:ascii="Cambria Math" w:hAnsi="Cambria Math" w:cs="Times New Roman"/>
                <w:sz w:val="20"/>
                <w:szCs w:val="20"/>
              </w:rPr>
              <m:t xml:space="preserve"> </m:t>
            </m:r>
            <m:func>
              <m:funcPr>
                <m:ctrlPr>
                  <w:rPr>
                    <w:rFonts w:ascii="Cambria Math" w:hAnsi="Cambria Math" w:cs="Times New Roman"/>
                    <w:i/>
                    <w:sz w:val="20"/>
                    <w:szCs w:val="20"/>
                  </w:rPr>
                </m:ctrlPr>
              </m:funcPr>
              <m:fName>
                <m:r>
                  <m:rPr>
                    <m:sty m:val="p"/>
                  </m:rPr>
                  <w:rPr>
                    <w:rFonts w:ascii="Cambria Math" w:hAnsi="Cambria Math" w:cs="Times New Roman"/>
                    <w:sz w:val="20"/>
                    <w:szCs w:val="20"/>
                  </w:rPr>
                  <m:t>mod</m:t>
                </m:r>
              </m:fName>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SSB</m:t>
                    </m:r>
                  </m:sub>
                  <m:sup>
                    <m:r>
                      <w:rPr>
                        <w:rFonts w:ascii="Cambria Math" w:hAnsi="Cambria Math" w:cs="Times New Roman"/>
                        <w:sz w:val="20"/>
                        <w:szCs w:val="20"/>
                      </w:rPr>
                      <m:t>QCL</m:t>
                    </m:r>
                  </m:sup>
                </m:sSubSup>
              </m:e>
            </m:func>
          </m:e>
        </m:d>
      </m:oMath>
      <w:r w:rsidRPr="009C5BFC">
        <w:rPr>
          <w:rFonts w:ascii="Times New Roman" w:hAnsi="Times New Roman" w:cs="Times New Roman"/>
          <w:sz w:val="20"/>
          <w:szCs w:val="20"/>
        </w:rPr>
        <w:t xml:space="preserve"> where </w:t>
      </w:r>
      <m:oMath>
        <m:acc>
          <m:accPr>
            <m:chr m:val="̅"/>
            <m:ctrlPr>
              <w:rPr>
                <w:rFonts w:ascii="Cambria Math" w:hAnsi="Cambria Math" w:cs="Times New Roman"/>
                <w:i/>
                <w:sz w:val="20"/>
                <w:szCs w:val="20"/>
              </w:rPr>
            </m:ctrlPr>
          </m:accPr>
          <m:e>
            <m:r>
              <w:rPr>
                <w:rFonts w:ascii="Cambria Math" w:hAnsi="Cambria Math" w:cs="Times New Roman"/>
                <w:sz w:val="20"/>
                <w:szCs w:val="20"/>
              </w:rPr>
              <m:t>i</m:t>
            </m:r>
          </m:e>
        </m:acc>
      </m:oMath>
      <w:r w:rsidRPr="009C5BFC">
        <w:rPr>
          <w:rFonts w:ascii="Times New Roman" w:hAnsi="Times New Roman" w:cs="Times New Roman"/>
          <w:sz w:val="20"/>
          <w:szCs w:val="20"/>
        </w:rPr>
        <w:t xml:space="preserve"> is the candidate SS/PBCH block index.</w:t>
      </w:r>
    </w:p>
    <w:p w14:paraId="58A2015A" w14:textId="77777777" w:rsidR="000649DE" w:rsidRPr="00F903CA" w:rsidRDefault="000649DE" w:rsidP="000649DE">
      <w:pPr>
        <w:pStyle w:val="BodyText"/>
        <w:jc w:val="center"/>
      </w:pPr>
      <w:r>
        <w:t>*** Unchanged text omitted ***</w:t>
      </w:r>
    </w:p>
    <w:p w14:paraId="5EB04040" w14:textId="77777777" w:rsidR="000C61A4" w:rsidRDefault="000C61A4" w:rsidP="000C61A4">
      <w:pPr>
        <w:pStyle w:val="BodyText"/>
      </w:pPr>
      <w:r w:rsidRPr="00BF0C27">
        <w:rPr>
          <w:highlight w:val="yellow"/>
        </w:rPr>
        <w:t>&gt;&gt;&gt; End Text Proposal &gt;&gt;&gt;</w:t>
      </w:r>
    </w:p>
    <w:p w14:paraId="015C1242" w14:textId="77777777" w:rsidR="000C61A4" w:rsidRPr="004C0921" w:rsidRDefault="000C61A4" w:rsidP="004C0921">
      <w:pPr>
        <w:rPr>
          <w:lang w:eastAsia="ja-JP"/>
        </w:rPr>
      </w:pPr>
    </w:p>
    <w:bookmarkEnd w:id="43"/>
    <w:bookmarkEnd w:id="44"/>
    <w:p w14:paraId="25061FAC" w14:textId="77777777" w:rsidR="00BA7307" w:rsidRPr="00290A61" w:rsidRDefault="00BA7307" w:rsidP="004C0921">
      <w:pPr>
        <w:pStyle w:val="Heading2"/>
        <w:rPr>
          <w:lang w:val="en-US"/>
        </w:rPr>
      </w:pPr>
    </w:p>
    <w:sectPr w:rsidR="00BA7307" w:rsidRPr="00290A61"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4A217" w14:textId="77777777" w:rsidR="00A76E1D" w:rsidRDefault="00A76E1D">
      <w:r>
        <w:separator/>
      </w:r>
    </w:p>
  </w:endnote>
  <w:endnote w:type="continuationSeparator" w:id="0">
    <w:p w14:paraId="0B9E4A62" w14:textId="77777777" w:rsidR="00A76E1D" w:rsidRDefault="00A76E1D">
      <w:r>
        <w:continuationSeparator/>
      </w:r>
    </w:p>
  </w:endnote>
  <w:endnote w:type="continuationNotice" w:id="1">
    <w:p w14:paraId="38F7A6E9" w14:textId="77777777" w:rsidR="00A76E1D" w:rsidRDefault="00A76E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A76E1D" w:rsidRDefault="00A76E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D8798" w14:textId="77777777" w:rsidR="00A76E1D" w:rsidRDefault="00A76E1D">
      <w:r>
        <w:separator/>
      </w:r>
    </w:p>
  </w:footnote>
  <w:footnote w:type="continuationSeparator" w:id="0">
    <w:p w14:paraId="6E013B29" w14:textId="77777777" w:rsidR="00A76E1D" w:rsidRDefault="00A76E1D">
      <w:r>
        <w:continuationSeparator/>
      </w:r>
    </w:p>
  </w:footnote>
  <w:footnote w:type="continuationNotice" w:id="1">
    <w:p w14:paraId="109CC7C9" w14:textId="77777777" w:rsidR="00A76E1D" w:rsidRDefault="00A76E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A76E1D" w:rsidRDefault="00A76E1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A205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ACF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BE4028"/>
    <w:multiLevelType w:val="hybridMultilevel"/>
    <w:tmpl w:val="FB0ECF9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5366889"/>
    <w:multiLevelType w:val="hybridMultilevel"/>
    <w:tmpl w:val="63C02494"/>
    <w:lvl w:ilvl="0" w:tplc="09E04206">
      <w:start w:val="2"/>
      <w:numFmt w:val="bullet"/>
      <w:lvlText w:val="-"/>
      <w:lvlJc w:val="left"/>
      <w:pPr>
        <w:ind w:left="720" w:hanging="360"/>
      </w:pPr>
      <w:rPr>
        <w:rFonts w:ascii="Times New Roman" w:eastAsia="Times New Roman" w:hAnsi="Times New Roman" w:cs="Times New Roman" w:hint="default"/>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295111"/>
    <w:multiLevelType w:val="hybridMultilevel"/>
    <w:tmpl w:val="8F1E0E24"/>
    <w:lvl w:ilvl="0" w:tplc="04190001">
      <w:start w:val="1"/>
      <w:numFmt w:val="bullet"/>
      <w:lvlText w:val=""/>
      <w:lvlJc w:val="left"/>
      <w:pPr>
        <w:ind w:left="1288" w:hanging="360"/>
      </w:pPr>
      <w:rPr>
        <w:rFonts w:ascii="Symbol" w:hAnsi="Symbol"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hint="default"/>
      </w:rPr>
    </w:lvl>
    <w:lvl w:ilvl="6" w:tplc="04190001">
      <w:start w:val="1"/>
      <w:numFmt w:val="bullet"/>
      <w:lvlText w:val=""/>
      <w:lvlJc w:val="left"/>
      <w:pPr>
        <w:ind w:left="5608" w:hanging="360"/>
      </w:pPr>
      <w:rPr>
        <w:rFonts w:ascii="Symbol" w:hAnsi="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hint="default"/>
      </w:rPr>
    </w:lvl>
  </w:abstractNum>
  <w:abstractNum w:abstractNumId="16"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557768"/>
    <w:multiLevelType w:val="hybridMultilevel"/>
    <w:tmpl w:val="526EA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A960BB"/>
    <w:multiLevelType w:val="hybridMultilevel"/>
    <w:tmpl w:val="E8E2DA30"/>
    <w:lvl w:ilvl="0" w:tplc="8708B436">
      <w:start w:val="1"/>
      <w:numFmt w:val="lowerLetter"/>
      <w:lvlText w:val="%1)"/>
      <w:lvlJc w:val="left"/>
      <w:pPr>
        <w:ind w:left="720" w:hanging="360"/>
      </w:pPr>
      <w:rPr>
        <w:rFonts w:eastAsia="Yu Mincho"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81A5E55"/>
    <w:multiLevelType w:val="hybridMultilevel"/>
    <w:tmpl w:val="7B56F4A8"/>
    <w:lvl w:ilvl="0" w:tplc="04060001">
      <w:start w:val="1"/>
      <w:numFmt w:val="bullet"/>
      <w:lvlText w:val=""/>
      <w:lvlJc w:val="left"/>
      <w:pPr>
        <w:ind w:left="780" w:hanging="360"/>
      </w:pPr>
      <w:rPr>
        <w:rFonts w:ascii="Symbol" w:hAnsi="Symbol" w:hint="default"/>
      </w:rPr>
    </w:lvl>
    <w:lvl w:ilvl="1" w:tplc="04060003">
      <w:start w:val="1"/>
      <w:numFmt w:val="bullet"/>
      <w:lvlText w:val="o"/>
      <w:lvlJc w:val="left"/>
      <w:pPr>
        <w:ind w:left="1500" w:hanging="360"/>
      </w:pPr>
      <w:rPr>
        <w:rFonts w:ascii="Courier New" w:hAnsi="Courier New" w:cs="Courier New" w:hint="default"/>
      </w:rPr>
    </w:lvl>
    <w:lvl w:ilvl="2" w:tplc="04060005">
      <w:start w:val="1"/>
      <w:numFmt w:val="bullet"/>
      <w:lvlText w:val=""/>
      <w:lvlJc w:val="left"/>
      <w:pPr>
        <w:ind w:left="2220" w:hanging="360"/>
      </w:pPr>
      <w:rPr>
        <w:rFonts w:ascii="Wingdings" w:hAnsi="Wingdings" w:hint="default"/>
      </w:rPr>
    </w:lvl>
    <w:lvl w:ilvl="3" w:tplc="04060001">
      <w:start w:val="1"/>
      <w:numFmt w:val="bullet"/>
      <w:lvlText w:val=""/>
      <w:lvlJc w:val="left"/>
      <w:pPr>
        <w:ind w:left="2940" w:hanging="360"/>
      </w:pPr>
      <w:rPr>
        <w:rFonts w:ascii="Symbol" w:hAnsi="Symbol" w:hint="default"/>
      </w:rPr>
    </w:lvl>
    <w:lvl w:ilvl="4" w:tplc="04060003">
      <w:start w:val="1"/>
      <w:numFmt w:val="bullet"/>
      <w:lvlText w:val="o"/>
      <w:lvlJc w:val="left"/>
      <w:pPr>
        <w:ind w:left="3660" w:hanging="360"/>
      </w:pPr>
      <w:rPr>
        <w:rFonts w:ascii="Courier New" w:hAnsi="Courier New" w:cs="Courier New" w:hint="default"/>
      </w:rPr>
    </w:lvl>
    <w:lvl w:ilvl="5" w:tplc="04060005">
      <w:start w:val="1"/>
      <w:numFmt w:val="bullet"/>
      <w:lvlText w:val=""/>
      <w:lvlJc w:val="left"/>
      <w:pPr>
        <w:ind w:left="4380" w:hanging="360"/>
      </w:pPr>
      <w:rPr>
        <w:rFonts w:ascii="Wingdings" w:hAnsi="Wingdings" w:hint="default"/>
      </w:rPr>
    </w:lvl>
    <w:lvl w:ilvl="6" w:tplc="04060001">
      <w:start w:val="1"/>
      <w:numFmt w:val="bullet"/>
      <w:lvlText w:val=""/>
      <w:lvlJc w:val="left"/>
      <w:pPr>
        <w:ind w:left="5100" w:hanging="360"/>
      </w:pPr>
      <w:rPr>
        <w:rFonts w:ascii="Symbol" w:hAnsi="Symbol" w:hint="default"/>
      </w:rPr>
    </w:lvl>
    <w:lvl w:ilvl="7" w:tplc="04060003">
      <w:start w:val="1"/>
      <w:numFmt w:val="bullet"/>
      <w:lvlText w:val="o"/>
      <w:lvlJc w:val="left"/>
      <w:pPr>
        <w:ind w:left="5820" w:hanging="360"/>
      </w:pPr>
      <w:rPr>
        <w:rFonts w:ascii="Courier New" w:hAnsi="Courier New" w:cs="Courier New" w:hint="default"/>
      </w:rPr>
    </w:lvl>
    <w:lvl w:ilvl="8" w:tplc="04060005">
      <w:start w:val="1"/>
      <w:numFmt w:val="bullet"/>
      <w:lvlText w:val=""/>
      <w:lvlJc w:val="left"/>
      <w:pPr>
        <w:ind w:left="6540" w:hanging="360"/>
      </w:pPr>
      <w:rPr>
        <w:rFonts w:ascii="Wingdings" w:hAnsi="Wingdings" w:hint="default"/>
      </w:rPr>
    </w:lvl>
  </w:abstractNum>
  <w:abstractNum w:abstractNumId="24"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77146B"/>
    <w:multiLevelType w:val="hybridMultilevel"/>
    <w:tmpl w:val="16507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AF46D12"/>
    <w:multiLevelType w:val="hybridMultilevel"/>
    <w:tmpl w:val="45124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6"/>
  </w:num>
  <w:num w:numId="3">
    <w:abstractNumId w:val="16"/>
  </w:num>
  <w:num w:numId="4">
    <w:abstractNumId w:val="17"/>
  </w:num>
  <w:num w:numId="5">
    <w:abstractNumId w:val="12"/>
  </w:num>
  <w:num w:numId="6">
    <w:abstractNumId w:val="20"/>
  </w:num>
  <w:num w:numId="7">
    <w:abstractNumId w:val="30"/>
  </w:num>
  <w:num w:numId="8">
    <w:abstractNumId w:val="13"/>
  </w:num>
  <w:num w:numId="9">
    <w:abstractNumId w:val="11"/>
  </w:num>
  <w:num w:numId="10">
    <w:abstractNumId w:val="2"/>
  </w:num>
  <w:num w:numId="11">
    <w:abstractNumId w:val="1"/>
  </w:num>
  <w:num w:numId="12">
    <w:abstractNumId w:val="0"/>
  </w:num>
  <w:num w:numId="13">
    <w:abstractNumId w:val="27"/>
  </w:num>
  <w:num w:numId="14">
    <w:abstractNumId w:val="28"/>
  </w:num>
  <w:num w:numId="15">
    <w:abstractNumId w:val="18"/>
  </w:num>
  <w:num w:numId="16">
    <w:abstractNumId w:val="31"/>
  </w:num>
  <w:num w:numId="17">
    <w:abstractNumId w:val="9"/>
  </w:num>
  <w:num w:numId="18">
    <w:abstractNumId w:val="10"/>
  </w:num>
  <w:num w:numId="19">
    <w:abstractNumId w:val="6"/>
  </w:num>
  <w:num w:numId="20">
    <w:abstractNumId w:val="34"/>
  </w:num>
  <w:num w:numId="21">
    <w:abstractNumId w:val="14"/>
  </w:num>
  <w:num w:numId="22">
    <w:abstractNumId w:val="33"/>
  </w:num>
  <w:num w:numId="23">
    <w:abstractNumId w:val="16"/>
  </w:num>
  <w:num w:numId="24">
    <w:abstractNumId w:val="24"/>
  </w:num>
  <w:num w:numId="25">
    <w:abstractNumId w:val="5"/>
  </w:num>
  <w:num w:numId="26">
    <w:abstractNumId w:val="19"/>
  </w:num>
  <w:num w:numId="27">
    <w:abstractNumId w:val="22"/>
  </w:num>
  <w:num w:numId="28">
    <w:abstractNumId w:val="32"/>
  </w:num>
  <w:num w:numId="29">
    <w:abstractNumId w:val="8"/>
  </w:num>
  <w:num w:numId="30">
    <w:abstractNumId w:val="21"/>
  </w:num>
  <w:num w:numId="31">
    <w:abstractNumId w:val="7"/>
  </w:num>
  <w:num w:numId="32">
    <w:abstractNumId w:val="23"/>
  </w:num>
  <w:num w:numId="33">
    <w:abstractNumId w:val="15"/>
  </w:num>
  <w:num w:numId="34">
    <w:abstractNumId w:val="4"/>
  </w:num>
  <w:num w:numId="35">
    <w:abstractNumId w:val="4"/>
  </w:num>
  <w:num w:numId="36">
    <w:abstractNumId w:val="25"/>
  </w:num>
  <w:num w:numId="3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30D6"/>
    <w:rsid w:val="00003525"/>
    <w:rsid w:val="0000564C"/>
    <w:rsid w:val="00006446"/>
    <w:rsid w:val="00006896"/>
    <w:rsid w:val="00007CDC"/>
    <w:rsid w:val="00011B28"/>
    <w:rsid w:val="00012775"/>
    <w:rsid w:val="00015D15"/>
    <w:rsid w:val="0002226F"/>
    <w:rsid w:val="0002509B"/>
    <w:rsid w:val="0002564D"/>
    <w:rsid w:val="00025ECA"/>
    <w:rsid w:val="00025F4F"/>
    <w:rsid w:val="000325B8"/>
    <w:rsid w:val="00034C15"/>
    <w:rsid w:val="00036BA1"/>
    <w:rsid w:val="00041DE8"/>
    <w:rsid w:val="000422E2"/>
    <w:rsid w:val="00042F22"/>
    <w:rsid w:val="000444EF"/>
    <w:rsid w:val="00045C48"/>
    <w:rsid w:val="00046554"/>
    <w:rsid w:val="00052A07"/>
    <w:rsid w:val="00052CE9"/>
    <w:rsid w:val="000534E3"/>
    <w:rsid w:val="0005518A"/>
    <w:rsid w:val="0005564D"/>
    <w:rsid w:val="0005606A"/>
    <w:rsid w:val="00057117"/>
    <w:rsid w:val="000616E7"/>
    <w:rsid w:val="0006487E"/>
    <w:rsid w:val="000649DE"/>
    <w:rsid w:val="00065E1A"/>
    <w:rsid w:val="00067DD7"/>
    <w:rsid w:val="000728B9"/>
    <w:rsid w:val="00073166"/>
    <w:rsid w:val="00077E5F"/>
    <w:rsid w:val="0008036A"/>
    <w:rsid w:val="00081AE6"/>
    <w:rsid w:val="0008229F"/>
    <w:rsid w:val="00083496"/>
    <w:rsid w:val="00084C90"/>
    <w:rsid w:val="000855EB"/>
    <w:rsid w:val="00085B52"/>
    <w:rsid w:val="0008648B"/>
    <w:rsid w:val="000866F2"/>
    <w:rsid w:val="0009009F"/>
    <w:rsid w:val="00091557"/>
    <w:rsid w:val="000924C1"/>
    <w:rsid w:val="000924F0"/>
    <w:rsid w:val="00093474"/>
    <w:rsid w:val="000945D6"/>
    <w:rsid w:val="0009510F"/>
    <w:rsid w:val="000972ED"/>
    <w:rsid w:val="000A1B7B"/>
    <w:rsid w:val="000A56F2"/>
    <w:rsid w:val="000A6AF2"/>
    <w:rsid w:val="000A79AC"/>
    <w:rsid w:val="000B10B9"/>
    <w:rsid w:val="000B2719"/>
    <w:rsid w:val="000B31B8"/>
    <w:rsid w:val="000B3A8F"/>
    <w:rsid w:val="000B4AB9"/>
    <w:rsid w:val="000B58C3"/>
    <w:rsid w:val="000B61E9"/>
    <w:rsid w:val="000C165A"/>
    <w:rsid w:val="000C2E19"/>
    <w:rsid w:val="000C6095"/>
    <w:rsid w:val="000C61A4"/>
    <w:rsid w:val="000D0D07"/>
    <w:rsid w:val="000D2FBB"/>
    <w:rsid w:val="000D4797"/>
    <w:rsid w:val="000E0527"/>
    <w:rsid w:val="000E1E92"/>
    <w:rsid w:val="000E3014"/>
    <w:rsid w:val="000E6405"/>
    <w:rsid w:val="000F06D6"/>
    <w:rsid w:val="000F0EB1"/>
    <w:rsid w:val="000F1106"/>
    <w:rsid w:val="000F3BE9"/>
    <w:rsid w:val="000F3F6C"/>
    <w:rsid w:val="000F6DF3"/>
    <w:rsid w:val="001005FF"/>
    <w:rsid w:val="001028FB"/>
    <w:rsid w:val="00104055"/>
    <w:rsid w:val="001062FB"/>
    <w:rsid w:val="001063E6"/>
    <w:rsid w:val="00113CF4"/>
    <w:rsid w:val="001153EA"/>
    <w:rsid w:val="00115643"/>
    <w:rsid w:val="00116765"/>
    <w:rsid w:val="001219F5"/>
    <w:rsid w:val="00121A20"/>
    <w:rsid w:val="0012377F"/>
    <w:rsid w:val="00123A96"/>
    <w:rsid w:val="00124314"/>
    <w:rsid w:val="00126B4A"/>
    <w:rsid w:val="001311F7"/>
    <w:rsid w:val="00132C9E"/>
    <w:rsid w:val="00132FD0"/>
    <w:rsid w:val="0013361B"/>
    <w:rsid w:val="001344C0"/>
    <w:rsid w:val="001346FA"/>
    <w:rsid w:val="00135252"/>
    <w:rsid w:val="00136711"/>
    <w:rsid w:val="00137AB5"/>
    <w:rsid w:val="00137F0B"/>
    <w:rsid w:val="00143EAA"/>
    <w:rsid w:val="0014516C"/>
    <w:rsid w:val="00151E23"/>
    <w:rsid w:val="001526E0"/>
    <w:rsid w:val="001551B5"/>
    <w:rsid w:val="00164FB6"/>
    <w:rsid w:val="001659C1"/>
    <w:rsid w:val="001729AA"/>
    <w:rsid w:val="00173289"/>
    <w:rsid w:val="00173A8E"/>
    <w:rsid w:val="0017502C"/>
    <w:rsid w:val="00175FEE"/>
    <w:rsid w:val="0018143F"/>
    <w:rsid w:val="00181FF8"/>
    <w:rsid w:val="0018501A"/>
    <w:rsid w:val="00185CB7"/>
    <w:rsid w:val="00190AC1"/>
    <w:rsid w:val="0019341A"/>
    <w:rsid w:val="00197DF9"/>
    <w:rsid w:val="001A1987"/>
    <w:rsid w:val="001A2564"/>
    <w:rsid w:val="001A6173"/>
    <w:rsid w:val="001A6CBA"/>
    <w:rsid w:val="001B0D97"/>
    <w:rsid w:val="001B3D45"/>
    <w:rsid w:val="001B5A5D"/>
    <w:rsid w:val="001B5B01"/>
    <w:rsid w:val="001B673A"/>
    <w:rsid w:val="001C1CE5"/>
    <w:rsid w:val="001C3D2A"/>
    <w:rsid w:val="001C6959"/>
    <w:rsid w:val="001C7FA8"/>
    <w:rsid w:val="001D0628"/>
    <w:rsid w:val="001D4044"/>
    <w:rsid w:val="001D4CEA"/>
    <w:rsid w:val="001D51BA"/>
    <w:rsid w:val="001D53E7"/>
    <w:rsid w:val="001D6316"/>
    <w:rsid w:val="001D6342"/>
    <w:rsid w:val="001D6D53"/>
    <w:rsid w:val="001E1FCC"/>
    <w:rsid w:val="001E58E2"/>
    <w:rsid w:val="001E7AED"/>
    <w:rsid w:val="001F0745"/>
    <w:rsid w:val="001F3916"/>
    <w:rsid w:val="001F54C5"/>
    <w:rsid w:val="001F662C"/>
    <w:rsid w:val="001F7074"/>
    <w:rsid w:val="00200490"/>
    <w:rsid w:val="00201735"/>
    <w:rsid w:val="00201F3A"/>
    <w:rsid w:val="002020C3"/>
    <w:rsid w:val="0020313A"/>
    <w:rsid w:val="00203F96"/>
    <w:rsid w:val="002062A5"/>
    <w:rsid w:val="002069B2"/>
    <w:rsid w:val="00207413"/>
    <w:rsid w:val="00207FA3"/>
    <w:rsid w:val="00211F0A"/>
    <w:rsid w:val="00214DA8"/>
    <w:rsid w:val="00215423"/>
    <w:rsid w:val="002158FA"/>
    <w:rsid w:val="002159EC"/>
    <w:rsid w:val="00220600"/>
    <w:rsid w:val="002224DB"/>
    <w:rsid w:val="00223FCB"/>
    <w:rsid w:val="002252C3"/>
    <w:rsid w:val="00225C54"/>
    <w:rsid w:val="00230765"/>
    <w:rsid w:val="00230D18"/>
    <w:rsid w:val="002319E4"/>
    <w:rsid w:val="00232712"/>
    <w:rsid w:val="00235632"/>
    <w:rsid w:val="00235872"/>
    <w:rsid w:val="00241559"/>
    <w:rsid w:val="002435B3"/>
    <w:rsid w:val="002458EB"/>
    <w:rsid w:val="002475F8"/>
    <w:rsid w:val="002500C8"/>
    <w:rsid w:val="00257543"/>
    <w:rsid w:val="0025770D"/>
    <w:rsid w:val="002617E7"/>
    <w:rsid w:val="00261FE1"/>
    <w:rsid w:val="00262E9A"/>
    <w:rsid w:val="00264228"/>
    <w:rsid w:val="00264334"/>
    <w:rsid w:val="0026473E"/>
    <w:rsid w:val="002653A8"/>
    <w:rsid w:val="00266214"/>
    <w:rsid w:val="00267C83"/>
    <w:rsid w:val="0027144F"/>
    <w:rsid w:val="00271813"/>
    <w:rsid w:val="00271D71"/>
    <w:rsid w:val="00271F3A"/>
    <w:rsid w:val="002723D1"/>
    <w:rsid w:val="00273278"/>
    <w:rsid w:val="002737F4"/>
    <w:rsid w:val="00275F3E"/>
    <w:rsid w:val="00276489"/>
    <w:rsid w:val="00277D7D"/>
    <w:rsid w:val="002805F5"/>
    <w:rsid w:val="00280751"/>
    <w:rsid w:val="0028280A"/>
    <w:rsid w:val="002835AF"/>
    <w:rsid w:val="00286ACD"/>
    <w:rsid w:val="00287838"/>
    <w:rsid w:val="002907B5"/>
    <w:rsid w:val="00290A61"/>
    <w:rsid w:val="00292EB7"/>
    <w:rsid w:val="00296227"/>
    <w:rsid w:val="00296F44"/>
    <w:rsid w:val="0029777D"/>
    <w:rsid w:val="002A055E"/>
    <w:rsid w:val="002A1D4E"/>
    <w:rsid w:val="002A2869"/>
    <w:rsid w:val="002B24D6"/>
    <w:rsid w:val="002C1D8B"/>
    <w:rsid w:val="002C1F87"/>
    <w:rsid w:val="002C41E6"/>
    <w:rsid w:val="002D071A"/>
    <w:rsid w:val="002D34B2"/>
    <w:rsid w:val="002D48B0"/>
    <w:rsid w:val="002D5B37"/>
    <w:rsid w:val="002D7637"/>
    <w:rsid w:val="002E17F2"/>
    <w:rsid w:val="002E23B0"/>
    <w:rsid w:val="002E2AF6"/>
    <w:rsid w:val="002E7CAE"/>
    <w:rsid w:val="002F13E4"/>
    <w:rsid w:val="002F2771"/>
    <w:rsid w:val="002F2F16"/>
    <w:rsid w:val="002F37A9"/>
    <w:rsid w:val="002F3A77"/>
    <w:rsid w:val="002F5A82"/>
    <w:rsid w:val="00301CE6"/>
    <w:rsid w:val="0030256B"/>
    <w:rsid w:val="00302EC7"/>
    <w:rsid w:val="00304D17"/>
    <w:rsid w:val="0030501F"/>
    <w:rsid w:val="0030730C"/>
    <w:rsid w:val="00307BA1"/>
    <w:rsid w:val="00311702"/>
    <w:rsid w:val="00311E82"/>
    <w:rsid w:val="00313FD6"/>
    <w:rsid w:val="003143BD"/>
    <w:rsid w:val="00315363"/>
    <w:rsid w:val="003203ED"/>
    <w:rsid w:val="00322C9F"/>
    <w:rsid w:val="00324D23"/>
    <w:rsid w:val="00331751"/>
    <w:rsid w:val="00334579"/>
    <w:rsid w:val="00335858"/>
    <w:rsid w:val="00336208"/>
    <w:rsid w:val="00336BDA"/>
    <w:rsid w:val="00337155"/>
    <w:rsid w:val="003405D2"/>
    <w:rsid w:val="00342BD7"/>
    <w:rsid w:val="00344D59"/>
    <w:rsid w:val="00346419"/>
    <w:rsid w:val="00346DB5"/>
    <w:rsid w:val="003477B1"/>
    <w:rsid w:val="003518C9"/>
    <w:rsid w:val="00351D04"/>
    <w:rsid w:val="00353D42"/>
    <w:rsid w:val="00356CAC"/>
    <w:rsid w:val="00357380"/>
    <w:rsid w:val="003602D9"/>
    <w:rsid w:val="003604CE"/>
    <w:rsid w:val="00362425"/>
    <w:rsid w:val="00362A0C"/>
    <w:rsid w:val="00366CFC"/>
    <w:rsid w:val="00370E47"/>
    <w:rsid w:val="00371AA2"/>
    <w:rsid w:val="003742AC"/>
    <w:rsid w:val="003773D4"/>
    <w:rsid w:val="00377CE1"/>
    <w:rsid w:val="00385BF0"/>
    <w:rsid w:val="00390FA0"/>
    <w:rsid w:val="00391796"/>
    <w:rsid w:val="003939FF"/>
    <w:rsid w:val="003A2223"/>
    <w:rsid w:val="003A2A0F"/>
    <w:rsid w:val="003A45A1"/>
    <w:rsid w:val="003A5B0A"/>
    <w:rsid w:val="003A5EBF"/>
    <w:rsid w:val="003A6BAC"/>
    <w:rsid w:val="003A70A4"/>
    <w:rsid w:val="003A7EF3"/>
    <w:rsid w:val="003B159C"/>
    <w:rsid w:val="003B1B1D"/>
    <w:rsid w:val="003B239A"/>
    <w:rsid w:val="003B369F"/>
    <w:rsid w:val="003B36A3"/>
    <w:rsid w:val="003B64BB"/>
    <w:rsid w:val="003B7FE5"/>
    <w:rsid w:val="003C0965"/>
    <w:rsid w:val="003C11C8"/>
    <w:rsid w:val="003C2702"/>
    <w:rsid w:val="003C5298"/>
    <w:rsid w:val="003C6A97"/>
    <w:rsid w:val="003C7806"/>
    <w:rsid w:val="003D094E"/>
    <w:rsid w:val="003D109F"/>
    <w:rsid w:val="003D2478"/>
    <w:rsid w:val="003D3C45"/>
    <w:rsid w:val="003D5B1F"/>
    <w:rsid w:val="003E15FA"/>
    <w:rsid w:val="003E55E4"/>
    <w:rsid w:val="003E74E3"/>
    <w:rsid w:val="003F05C7"/>
    <w:rsid w:val="003F2CD4"/>
    <w:rsid w:val="003F581B"/>
    <w:rsid w:val="003F6BBE"/>
    <w:rsid w:val="004000E8"/>
    <w:rsid w:val="00402E2B"/>
    <w:rsid w:val="00404BBD"/>
    <w:rsid w:val="0040512B"/>
    <w:rsid w:val="00405CA5"/>
    <w:rsid w:val="00407CD3"/>
    <w:rsid w:val="00410134"/>
    <w:rsid w:val="00410B72"/>
    <w:rsid w:val="00410F18"/>
    <w:rsid w:val="0041263E"/>
    <w:rsid w:val="00413AAC"/>
    <w:rsid w:val="00413E92"/>
    <w:rsid w:val="00415436"/>
    <w:rsid w:val="00421105"/>
    <w:rsid w:val="00422AA4"/>
    <w:rsid w:val="004242F4"/>
    <w:rsid w:val="00427248"/>
    <w:rsid w:val="00437447"/>
    <w:rsid w:val="00441003"/>
    <w:rsid w:val="00441A92"/>
    <w:rsid w:val="004431DC"/>
    <w:rsid w:val="004445FC"/>
    <w:rsid w:val="00444F56"/>
    <w:rsid w:val="00446488"/>
    <w:rsid w:val="004517AA"/>
    <w:rsid w:val="00452CAC"/>
    <w:rsid w:val="004568EF"/>
    <w:rsid w:val="00456D53"/>
    <w:rsid w:val="0045714B"/>
    <w:rsid w:val="00457565"/>
    <w:rsid w:val="00457B71"/>
    <w:rsid w:val="00464689"/>
    <w:rsid w:val="00465B80"/>
    <w:rsid w:val="004669E2"/>
    <w:rsid w:val="00470C31"/>
    <w:rsid w:val="00471DE0"/>
    <w:rsid w:val="004734D0"/>
    <w:rsid w:val="0047556B"/>
    <w:rsid w:val="00477768"/>
    <w:rsid w:val="00492BC5"/>
    <w:rsid w:val="004964F1"/>
    <w:rsid w:val="004A16BC"/>
    <w:rsid w:val="004A2B94"/>
    <w:rsid w:val="004A36FF"/>
    <w:rsid w:val="004A4B83"/>
    <w:rsid w:val="004A6F36"/>
    <w:rsid w:val="004A788B"/>
    <w:rsid w:val="004B6F6A"/>
    <w:rsid w:val="004B7C0C"/>
    <w:rsid w:val="004C0921"/>
    <w:rsid w:val="004C3898"/>
    <w:rsid w:val="004D1534"/>
    <w:rsid w:val="004D349B"/>
    <w:rsid w:val="004D36B1"/>
    <w:rsid w:val="004D7044"/>
    <w:rsid w:val="004D7EBD"/>
    <w:rsid w:val="004E2680"/>
    <w:rsid w:val="004E28F9"/>
    <w:rsid w:val="004E2A01"/>
    <w:rsid w:val="004E462E"/>
    <w:rsid w:val="004E482F"/>
    <w:rsid w:val="004E5065"/>
    <w:rsid w:val="004E56DC"/>
    <w:rsid w:val="004E76F4"/>
    <w:rsid w:val="004F0B4E"/>
    <w:rsid w:val="004F0B6C"/>
    <w:rsid w:val="004F2078"/>
    <w:rsid w:val="004F4DA3"/>
    <w:rsid w:val="004F7295"/>
    <w:rsid w:val="00506557"/>
    <w:rsid w:val="0050677A"/>
    <w:rsid w:val="00510435"/>
    <w:rsid w:val="005108D8"/>
    <w:rsid w:val="005109A0"/>
    <w:rsid w:val="005116F9"/>
    <w:rsid w:val="005153A7"/>
    <w:rsid w:val="00515EB1"/>
    <w:rsid w:val="005219CF"/>
    <w:rsid w:val="005273D7"/>
    <w:rsid w:val="0053281E"/>
    <w:rsid w:val="00533E12"/>
    <w:rsid w:val="00534B59"/>
    <w:rsid w:val="00535CCA"/>
    <w:rsid w:val="00536759"/>
    <w:rsid w:val="00537C62"/>
    <w:rsid w:val="00546970"/>
    <w:rsid w:val="005509E5"/>
    <w:rsid w:val="00554E19"/>
    <w:rsid w:val="0056102E"/>
    <w:rsid w:val="0056121F"/>
    <w:rsid w:val="00561841"/>
    <w:rsid w:val="005647D4"/>
    <w:rsid w:val="00572505"/>
    <w:rsid w:val="00576EE8"/>
    <w:rsid w:val="00582809"/>
    <w:rsid w:val="00583447"/>
    <w:rsid w:val="00583985"/>
    <w:rsid w:val="0058798C"/>
    <w:rsid w:val="005900FA"/>
    <w:rsid w:val="005935A4"/>
    <w:rsid w:val="005948C2"/>
    <w:rsid w:val="00595DCA"/>
    <w:rsid w:val="0059779B"/>
    <w:rsid w:val="005A209A"/>
    <w:rsid w:val="005A3B3F"/>
    <w:rsid w:val="005A662D"/>
    <w:rsid w:val="005B1409"/>
    <w:rsid w:val="005B35D7"/>
    <w:rsid w:val="005B392A"/>
    <w:rsid w:val="005B3AA3"/>
    <w:rsid w:val="005B5332"/>
    <w:rsid w:val="005B5AB4"/>
    <w:rsid w:val="005B6F83"/>
    <w:rsid w:val="005B7EBB"/>
    <w:rsid w:val="005C07ED"/>
    <w:rsid w:val="005C105F"/>
    <w:rsid w:val="005C2F82"/>
    <w:rsid w:val="005C4DBE"/>
    <w:rsid w:val="005C74FB"/>
    <w:rsid w:val="005D088C"/>
    <w:rsid w:val="005D1602"/>
    <w:rsid w:val="005D1D2E"/>
    <w:rsid w:val="005D3292"/>
    <w:rsid w:val="005D651E"/>
    <w:rsid w:val="005E385F"/>
    <w:rsid w:val="005E3B26"/>
    <w:rsid w:val="005E5B81"/>
    <w:rsid w:val="005F12D1"/>
    <w:rsid w:val="005F2CB1"/>
    <w:rsid w:val="005F3025"/>
    <w:rsid w:val="005F618C"/>
    <w:rsid w:val="005F70BD"/>
    <w:rsid w:val="00601902"/>
    <w:rsid w:val="006024A6"/>
    <w:rsid w:val="0060283C"/>
    <w:rsid w:val="006032D0"/>
    <w:rsid w:val="00604F14"/>
    <w:rsid w:val="00605B4B"/>
    <w:rsid w:val="00607D9A"/>
    <w:rsid w:val="00611B83"/>
    <w:rsid w:val="00613257"/>
    <w:rsid w:val="00620A71"/>
    <w:rsid w:val="00620D80"/>
    <w:rsid w:val="006234A6"/>
    <w:rsid w:val="00630001"/>
    <w:rsid w:val="006306C1"/>
    <w:rsid w:val="006311B3"/>
    <w:rsid w:val="00631D9A"/>
    <w:rsid w:val="0063284C"/>
    <w:rsid w:val="00632D5F"/>
    <w:rsid w:val="006359FC"/>
    <w:rsid w:val="00636398"/>
    <w:rsid w:val="006368D3"/>
    <w:rsid w:val="006377EC"/>
    <w:rsid w:val="0064151F"/>
    <w:rsid w:val="00641533"/>
    <w:rsid w:val="0064208D"/>
    <w:rsid w:val="00643475"/>
    <w:rsid w:val="0064396A"/>
    <w:rsid w:val="00644A80"/>
    <w:rsid w:val="0064588A"/>
    <w:rsid w:val="0064624E"/>
    <w:rsid w:val="00650AB9"/>
    <w:rsid w:val="00652E53"/>
    <w:rsid w:val="0065325F"/>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BA2"/>
    <w:rsid w:val="006741F2"/>
    <w:rsid w:val="00674245"/>
    <w:rsid w:val="00674CC3"/>
    <w:rsid w:val="00675C72"/>
    <w:rsid w:val="006771F9"/>
    <w:rsid w:val="006776D7"/>
    <w:rsid w:val="00681003"/>
    <w:rsid w:val="006810D8"/>
    <w:rsid w:val="006817C9"/>
    <w:rsid w:val="00683ECE"/>
    <w:rsid w:val="00686A3C"/>
    <w:rsid w:val="0069372B"/>
    <w:rsid w:val="00695FC2"/>
    <w:rsid w:val="00696949"/>
    <w:rsid w:val="00697052"/>
    <w:rsid w:val="006A46FB"/>
    <w:rsid w:val="006A5E28"/>
    <w:rsid w:val="006A697B"/>
    <w:rsid w:val="006A7AFF"/>
    <w:rsid w:val="006B055A"/>
    <w:rsid w:val="006B0EC3"/>
    <w:rsid w:val="006B1816"/>
    <w:rsid w:val="006B2099"/>
    <w:rsid w:val="006B2174"/>
    <w:rsid w:val="006B2718"/>
    <w:rsid w:val="006B3E70"/>
    <w:rsid w:val="006B50CF"/>
    <w:rsid w:val="006C03B8"/>
    <w:rsid w:val="006C3193"/>
    <w:rsid w:val="006C5EC9"/>
    <w:rsid w:val="006C6059"/>
    <w:rsid w:val="006C7522"/>
    <w:rsid w:val="006D0DB4"/>
    <w:rsid w:val="006D6F08"/>
    <w:rsid w:val="006E00E2"/>
    <w:rsid w:val="006E062C"/>
    <w:rsid w:val="006E1C82"/>
    <w:rsid w:val="006E28B7"/>
    <w:rsid w:val="006E2A9B"/>
    <w:rsid w:val="006E3310"/>
    <w:rsid w:val="006E44E6"/>
    <w:rsid w:val="006E4E39"/>
    <w:rsid w:val="006E565E"/>
    <w:rsid w:val="006E673D"/>
    <w:rsid w:val="006E7D3B"/>
    <w:rsid w:val="006F1788"/>
    <w:rsid w:val="006F1B70"/>
    <w:rsid w:val="006F2674"/>
    <w:rsid w:val="006F341D"/>
    <w:rsid w:val="006F3CDE"/>
    <w:rsid w:val="006F58D4"/>
    <w:rsid w:val="006F6582"/>
    <w:rsid w:val="0070346E"/>
    <w:rsid w:val="00704EDB"/>
    <w:rsid w:val="00706101"/>
    <w:rsid w:val="00707072"/>
    <w:rsid w:val="00707D61"/>
    <w:rsid w:val="00712287"/>
    <w:rsid w:val="00712772"/>
    <w:rsid w:val="00713BA6"/>
    <w:rsid w:val="007148D3"/>
    <w:rsid w:val="00715B9A"/>
    <w:rsid w:val="00720828"/>
    <w:rsid w:val="0072153F"/>
    <w:rsid w:val="0072204D"/>
    <w:rsid w:val="007232E1"/>
    <w:rsid w:val="007257D0"/>
    <w:rsid w:val="00726EA6"/>
    <w:rsid w:val="00727208"/>
    <w:rsid w:val="007272AC"/>
    <w:rsid w:val="00727680"/>
    <w:rsid w:val="007348B1"/>
    <w:rsid w:val="007362A6"/>
    <w:rsid w:val="00736D7D"/>
    <w:rsid w:val="00740593"/>
    <w:rsid w:val="0074073F"/>
    <w:rsid w:val="00740E58"/>
    <w:rsid w:val="007445A0"/>
    <w:rsid w:val="0074524B"/>
    <w:rsid w:val="00747D8B"/>
    <w:rsid w:val="00751228"/>
    <w:rsid w:val="00753B6A"/>
    <w:rsid w:val="00754ABB"/>
    <w:rsid w:val="007571E1"/>
    <w:rsid w:val="007604B2"/>
    <w:rsid w:val="00762076"/>
    <w:rsid w:val="00765281"/>
    <w:rsid w:val="00766BAD"/>
    <w:rsid w:val="007729A2"/>
    <w:rsid w:val="00772DAF"/>
    <w:rsid w:val="00774CA9"/>
    <w:rsid w:val="00775158"/>
    <w:rsid w:val="007754E0"/>
    <w:rsid w:val="007755F2"/>
    <w:rsid w:val="00775CAB"/>
    <w:rsid w:val="00776971"/>
    <w:rsid w:val="00780A80"/>
    <w:rsid w:val="0078177E"/>
    <w:rsid w:val="0078304C"/>
    <w:rsid w:val="00783673"/>
    <w:rsid w:val="007839CA"/>
    <w:rsid w:val="00785490"/>
    <w:rsid w:val="00787041"/>
    <w:rsid w:val="007925EA"/>
    <w:rsid w:val="00793CD8"/>
    <w:rsid w:val="00795C92"/>
    <w:rsid w:val="00796231"/>
    <w:rsid w:val="007964BF"/>
    <w:rsid w:val="007A1CB3"/>
    <w:rsid w:val="007A1FAC"/>
    <w:rsid w:val="007A306F"/>
    <w:rsid w:val="007A43A6"/>
    <w:rsid w:val="007A58A6"/>
    <w:rsid w:val="007A7D4F"/>
    <w:rsid w:val="007B3D2D"/>
    <w:rsid w:val="007B50AE"/>
    <w:rsid w:val="007B51DF"/>
    <w:rsid w:val="007C05DD"/>
    <w:rsid w:val="007C30A0"/>
    <w:rsid w:val="007C3D18"/>
    <w:rsid w:val="007C60BF"/>
    <w:rsid w:val="007C64B5"/>
    <w:rsid w:val="007C6A07"/>
    <w:rsid w:val="007C75A1"/>
    <w:rsid w:val="007C77A5"/>
    <w:rsid w:val="007D04E5"/>
    <w:rsid w:val="007D5901"/>
    <w:rsid w:val="007D7526"/>
    <w:rsid w:val="007E18E0"/>
    <w:rsid w:val="007E4610"/>
    <w:rsid w:val="007E4715"/>
    <w:rsid w:val="007E505B"/>
    <w:rsid w:val="007E7091"/>
    <w:rsid w:val="007F4067"/>
    <w:rsid w:val="008023C0"/>
    <w:rsid w:val="00802C2A"/>
    <w:rsid w:val="00803FAE"/>
    <w:rsid w:val="0080605F"/>
    <w:rsid w:val="00807786"/>
    <w:rsid w:val="00811FCB"/>
    <w:rsid w:val="008154EB"/>
    <w:rsid w:val="008158D6"/>
    <w:rsid w:val="00817196"/>
    <w:rsid w:val="008235DB"/>
    <w:rsid w:val="00824AB4"/>
    <w:rsid w:val="00825C42"/>
    <w:rsid w:val="00825D25"/>
    <w:rsid w:val="00827D6F"/>
    <w:rsid w:val="00830B8D"/>
    <w:rsid w:val="0083636C"/>
    <w:rsid w:val="008369B7"/>
    <w:rsid w:val="008376AC"/>
    <w:rsid w:val="008408E9"/>
    <w:rsid w:val="008438D1"/>
    <w:rsid w:val="008444E8"/>
    <w:rsid w:val="00844E80"/>
    <w:rsid w:val="0084559F"/>
    <w:rsid w:val="00846FE7"/>
    <w:rsid w:val="008500D6"/>
    <w:rsid w:val="008564A7"/>
    <w:rsid w:val="00856911"/>
    <w:rsid w:val="00861C43"/>
    <w:rsid w:val="008677FD"/>
    <w:rsid w:val="00867DD8"/>
    <w:rsid w:val="008706D4"/>
    <w:rsid w:val="00870F8A"/>
    <w:rsid w:val="008719A4"/>
    <w:rsid w:val="00871D23"/>
    <w:rsid w:val="00874312"/>
    <w:rsid w:val="0087437C"/>
    <w:rsid w:val="00875CD7"/>
    <w:rsid w:val="00876ACC"/>
    <w:rsid w:val="00876B4D"/>
    <w:rsid w:val="00877F18"/>
    <w:rsid w:val="00890A69"/>
    <w:rsid w:val="008941E3"/>
    <w:rsid w:val="00894A88"/>
    <w:rsid w:val="00895386"/>
    <w:rsid w:val="008A21FF"/>
    <w:rsid w:val="008A2CE2"/>
    <w:rsid w:val="008A30AC"/>
    <w:rsid w:val="008A44B8"/>
    <w:rsid w:val="008A51A8"/>
    <w:rsid w:val="008A54C7"/>
    <w:rsid w:val="008A5801"/>
    <w:rsid w:val="008A77D8"/>
    <w:rsid w:val="008B0483"/>
    <w:rsid w:val="008B0D01"/>
    <w:rsid w:val="008B120C"/>
    <w:rsid w:val="008B4169"/>
    <w:rsid w:val="008B51A0"/>
    <w:rsid w:val="008B592A"/>
    <w:rsid w:val="008B5E1B"/>
    <w:rsid w:val="008B7B5C"/>
    <w:rsid w:val="008C0264"/>
    <w:rsid w:val="008C04A7"/>
    <w:rsid w:val="008C0C99"/>
    <w:rsid w:val="008C2017"/>
    <w:rsid w:val="008C2313"/>
    <w:rsid w:val="008C4958"/>
    <w:rsid w:val="008C4BAA"/>
    <w:rsid w:val="008C6AE8"/>
    <w:rsid w:val="008C7573"/>
    <w:rsid w:val="008D00A5"/>
    <w:rsid w:val="008D0357"/>
    <w:rsid w:val="008D2230"/>
    <w:rsid w:val="008D34F1"/>
    <w:rsid w:val="008D39D8"/>
    <w:rsid w:val="008D6D1A"/>
    <w:rsid w:val="008E065E"/>
    <w:rsid w:val="008E0927"/>
    <w:rsid w:val="008E1909"/>
    <w:rsid w:val="008E5AFE"/>
    <w:rsid w:val="008F1C4E"/>
    <w:rsid w:val="008F1EAB"/>
    <w:rsid w:val="008F33DC"/>
    <w:rsid w:val="008F3C0B"/>
    <w:rsid w:val="008F477F"/>
    <w:rsid w:val="00900C3A"/>
    <w:rsid w:val="0090110D"/>
    <w:rsid w:val="00902350"/>
    <w:rsid w:val="009027D4"/>
    <w:rsid w:val="0090336B"/>
    <w:rsid w:val="0090401F"/>
    <w:rsid w:val="0090511C"/>
    <w:rsid w:val="009053AA"/>
    <w:rsid w:val="00906939"/>
    <w:rsid w:val="00910B7D"/>
    <w:rsid w:val="009115FD"/>
    <w:rsid w:val="00911DFB"/>
    <w:rsid w:val="009139D9"/>
    <w:rsid w:val="00914AD8"/>
    <w:rsid w:val="00916079"/>
    <w:rsid w:val="009168D7"/>
    <w:rsid w:val="00917CE9"/>
    <w:rsid w:val="00920BF2"/>
    <w:rsid w:val="00922010"/>
    <w:rsid w:val="00930F6E"/>
    <w:rsid w:val="00931BD9"/>
    <w:rsid w:val="00932FA1"/>
    <w:rsid w:val="0093466F"/>
    <w:rsid w:val="009368F3"/>
    <w:rsid w:val="00941636"/>
    <w:rsid w:val="00943742"/>
    <w:rsid w:val="00945C05"/>
    <w:rsid w:val="00946945"/>
    <w:rsid w:val="0094694F"/>
    <w:rsid w:val="00946E2A"/>
    <w:rsid w:val="00947713"/>
    <w:rsid w:val="009508E9"/>
    <w:rsid w:val="00950DE7"/>
    <w:rsid w:val="00953920"/>
    <w:rsid w:val="00953D47"/>
    <w:rsid w:val="0095681E"/>
    <w:rsid w:val="009572D4"/>
    <w:rsid w:val="00961921"/>
    <w:rsid w:val="009625C1"/>
    <w:rsid w:val="0096430A"/>
    <w:rsid w:val="0096554B"/>
    <w:rsid w:val="0096584A"/>
    <w:rsid w:val="00971F08"/>
    <w:rsid w:val="0097603D"/>
    <w:rsid w:val="00976949"/>
    <w:rsid w:val="00980477"/>
    <w:rsid w:val="00985253"/>
    <w:rsid w:val="009853B3"/>
    <w:rsid w:val="009902D4"/>
    <w:rsid w:val="00990630"/>
    <w:rsid w:val="00991761"/>
    <w:rsid w:val="00994964"/>
    <w:rsid w:val="00994DCA"/>
    <w:rsid w:val="009960EC"/>
    <w:rsid w:val="009970DD"/>
    <w:rsid w:val="00997413"/>
    <w:rsid w:val="009A0FBA"/>
    <w:rsid w:val="009A1601"/>
    <w:rsid w:val="009A3BB6"/>
    <w:rsid w:val="009A462D"/>
    <w:rsid w:val="009A5CBA"/>
    <w:rsid w:val="009B1F30"/>
    <w:rsid w:val="009B2C69"/>
    <w:rsid w:val="009B3AC2"/>
    <w:rsid w:val="009B4DF4"/>
    <w:rsid w:val="009B564E"/>
    <w:rsid w:val="009B7E87"/>
    <w:rsid w:val="009C0169"/>
    <w:rsid w:val="009C403E"/>
    <w:rsid w:val="009C59CE"/>
    <w:rsid w:val="009C5BFC"/>
    <w:rsid w:val="009D4FF0"/>
    <w:rsid w:val="009D703C"/>
    <w:rsid w:val="009D718F"/>
    <w:rsid w:val="009E068F"/>
    <w:rsid w:val="009E14E0"/>
    <w:rsid w:val="009E1A44"/>
    <w:rsid w:val="009E2EEB"/>
    <w:rsid w:val="009E35DB"/>
    <w:rsid w:val="009E37ED"/>
    <w:rsid w:val="009E47A3"/>
    <w:rsid w:val="009E49CD"/>
    <w:rsid w:val="009E4B26"/>
    <w:rsid w:val="009F08F3"/>
    <w:rsid w:val="009F1142"/>
    <w:rsid w:val="009F344F"/>
    <w:rsid w:val="009F614B"/>
    <w:rsid w:val="009F6ED1"/>
    <w:rsid w:val="00A02A96"/>
    <w:rsid w:val="00A031D8"/>
    <w:rsid w:val="00A048A8"/>
    <w:rsid w:val="00A04F49"/>
    <w:rsid w:val="00A13D3F"/>
    <w:rsid w:val="00A13E54"/>
    <w:rsid w:val="00A14A0A"/>
    <w:rsid w:val="00A17F63"/>
    <w:rsid w:val="00A2193B"/>
    <w:rsid w:val="00A2351A"/>
    <w:rsid w:val="00A25FB6"/>
    <w:rsid w:val="00A264A9"/>
    <w:rsid w:val="00A26DCF"/>
    <w:rsid w:val="00A27785"/>
    <w:rsid w:val="00A30187"/>
    <w:rsid w:val="00A3367C"/>
    <w:rsid w:val="00A3448A"/>
    <w:rsid w:val="00A34BF4"/>
    <w:rsid w:val="00A36297"/>
    <w:rsid w:val="00A41E2B"/>
    <w:rsid w:val="00A45B74"/>
    <w:rsid w:val="00A52782"/>
    <w:rsid w:val="00A52E1D"/>
    <w:rsid w:val="00A61499"/>
    <w:rsid w:val="00A625C3"/>
    <w:rsid w:val="00A62A77"/>
    <w:rsid w:val="00A63483"/>
    <w:rsid w:val="00A657D7"/>
    <w:rsid w:val="00A660AC"/>
    <w:rsid w:val="00A66401"/>
    <w:rsid w:val="00A678AB"/>
    <w:rsid w:val="00A67E6C"/>
    <w:rsid w:val="00A703F1"/>
    <w:rsid w:val="00A71B99"/>
    <w:rsid w:val="00A739D0"/>
    <w:rsid w:val="00A761D4"/>
    <w:rsid w:val="00A76E1D"/>
    <w:rsid w:val="00A77EC4"/>
    <w:rsid w:val="00A81F8B"/>
    <w:rsid w:val="00A862D1"/>
    <w:rsid w:val="00A92879"/>
    <w:rsid w:val="00A93866"/>
    <w:rsid w:val="00A9442A"/>
    <w:rsid w:val="00AA016F"/>
    <w:rsid w:val="00AA024F"/>
    <w:rsid w:val="00AA1172"/>
    <w:rsid w:val="00AA1ED6"/>
    <w:rsid w:val="00AA220F"/>
    <w:rsid w:val="00AA51D6"/>
    <w:rsid w:val="00AB0BC8"/>
    <w:rsid w:val="00AB11CA"/>
    <w:rsid w:val="00AB14D9"/>
    <w:rsid w:val="00AB4A5D"/>
    <w:rsid w:val="00AB4AB8"/>
    <w:rsid w:val="00AB595F"/>
    <w:rsid w:val="00AB655E"/>
    <w:rsid w:val="00AC007F"/>
    <w:rsid w:val="00AC0FE5"/>
    <w:rsid w:val="00AC2ECD"/>
    <w:rsid w:val="00AC3119"/>
    <w:rsid w:val="00AC49FB"/>
    <w:rsid w:val="00AC4DAD"/>
    <w:rsid w:val="00AC5A10"/>
    <w:rsid w:val="00AD0AA3"/>
    <w:rsid w:val="00AD2ED0"/>
    <w:rsid w:val="00AD3F94"/>
    <w:rsid w:val="00AD41F2"/>
    <w:rsid w:val="00AD4A5A"/>
    <w:rsid w:val="00AE27AC"/>
    <w:rsid w:val="00AE33EC"/>
    <w:rsid w:val="00AE40E0"/>
    <w:rsid w:val="00AE4DBA"/>
    <w:rsid w:val="00AE4F07"/>
    <w:rsid w:val="00AE7533"/>
    <w:rsid w:val="00AF1C5D"/>
    <w:rsid w:val="00AF42D7"/>
    <w:rsid w:val="00AF7914"/>
    <w:rsid w:val="00B006FE"/>
    <w:rsid w:val="00B007CB"/>
    <w:rsid w:val="00B02AA9"/>
    <w:rsid w:val="00B02FA3"/>
    <w:rsid w:val="00B03CAF"/>
    <w:rsid w:val="00B05084"/>
    <w:rsid w:val="00B05F72"/>
    <w:rsid w:val="00B10067"/>
    <w:rsid w:val="00B157F9"/>
    <w:rsid w:val="00B20256"/>
    <w:rsid w:val="00B204DE"/>
    <w:rsid w:val="00B20D09"/>
    <w:rsid w:val="00B227CC"/>
    <w:rsid w:val="00B2763F"/>
    <w:rsid w:val="00B27AAC"/>
    <w:rsid w:val="00B30929"/>
    <w:rsid w:val="00B372AA"/>
    <w:rsid w:val="00B40445"/>
    <w:rsid w:val="00B409E0"/>
    <w:rsid w:val="00B41888"/>
    <w:rsid w:val="00B45A52"/>
    <w:rsid w:val="00B46175"/>
    <w:rsid w:val="00B53F5D"/>
    <w:rsid w:val="00B548B7"/>
    <w:rsid w:val="00B553B8"/>
    <w:rsid w:val="00B664C7"/>
    <w:rsid w:val="00B67785"/>
    <w:rsid w:val="00B7039E"/>
    <w:rsid w:val="00B71185"/>
    <w:rsid w:val="00B739F6"/>
    <w:rsid w:val="00B81A6C"/>
    <w:rsid w:val="00B85DE5"/>
    <w:rsid w:val="00B90F73"/>
    <w:rsid w:val="00B92D96"/>
    <w:rsid w:val="00B93B59"/>
    <w:rsid w:val="00B9406A"/>
    <w:rsid w:val="00B95233"/>
    <w:rsid w:val="00BA16D4"/>
    <w:rsid w:val="00BA1EDB"/>
    <w:rsid w:val="00BA2280"/>
    <w:rsid w:val="00BA2A08"/>
    <w:rsid w:val="00BA2D21"/>
    <w:rsid w:val="00BA56D2"/>
    <w:rsid w:val="00BA7307"/>
    <w:rsid w:val="00BA76E0"/>
    <w:rsid w:val="00BB2A25"/>
    <w:rsid w:val="00BB43F6"/>
    <w:rsid w:val="00BB51E9"/>
    <w:rsid w:val="00BB60CB"/>
    <w:rsid w:val="00BB7C27"/>
    <w:rsid w:val="00BB7CDC"/>
    <w:rsid w:val="00BC0FDC"/>
    <w:rsid w:val="00BC3053"/>
    <w:rsid w:val="00BC4D2E"/>
    <w:rsid w:val="00BC7914"/>
    <w:rsid w:val="00BD371D"/>
    <w:rsid w:val="00BD48AC"/>
    <w:rsid w:val="00BD5F1A"/>
    <w:rsid w:val="00BE1053"/>
    <w:rsid w:val="00BE1234"/>
    <w:rsid w:val="00BE2FA6"/>
    <w:rsid w:val="00BE333F"/>
    <w:rsid w:val="00BE7406"/>
    <w:rsid w:val="00BE7603"/>
    <w:rsid w:val="00BF2161"/>
    <w:rsid w:val="00BF3279"/>
    <w:rsid w:val="00BF4347"/>
    <w:rsid w:val="00BF74C7"/>
    <w:rsid w:val="00C015F1"/>
    <w:rsid w:val="00C01F33"/>
    <w:rsid w:val="00C02CC6"/>
    <w:rsid w:val="00C03296"/>
    <w:rsid w:val="00C040F7"/>
    <w:rsid w:val="00C044AB"/>
    <w:rsid w:val="00C05706"/>
    <w:rsid w:val="00C07377"/>
    <w:rsid w:val="00C10478"/>
    <w:rsid w:val="00C12107"/>
    <w:rsid w:val="00C121D5"/>
    <w:rsid w:val="00C14D4B"/>
    <w:rsid w:val="00C154BB"/>
    <w:rsid w:val="00C20F0E"/>
    <w:rsid w:val="00C279B5"/>
    <w:rsid w:val="00C27ADA"/>
    <w:rsid w:val="00C27C45"/>
    <w:rsid w:val="00C32396"/>
    <w:rsid w:val="00C3719D"/>
    <w:rsid w:val="00C37CB2"/>
    <w:rsid w:val="00C41C54"/>
    <w:rsid w:val="00C43902"/>
    <w:rsid w:val="00C46C3E"/>
    <w:rsid w:val="00C473A5"/>
    <w:rsid w:val="00C54995"/>
    <w:rsid w:val="00C54D41"/>
    <w:rsid w:val="00C57A4C"/>
    <w:rsid w:val="00C60783"/>
    <w:rsid w:val="00C62EAF"/>
    <w:rsid w:val="00C64672"/>
    <w:rsid w:val="00C6697B"/>
    <w:rsid w:val="00C70697"/>
    <w:rsid w:val="00C72093"/>
    <w:rsid w:val="00C72EF4"/>
    <w:rsid w:val="00C744FE"/>
    <w:rsid w:val="00C75D2F"/>
    <w:rsid w:val="00C767A5"/>
    <w:rsid w:val="00C767BE"/>
    <w:rsid w:val="00C76E3C"/>
    <w:rsid w:val="00C81568"/>
    <w:rsid w:val="00C819A5"/>
    <w:rsid w:val="00C83D54"/>
    <w:rsid w:val="00C8678D"/>
    <w:rsid w:val="00C9027A"/>
    <w:rsid w:val="00C9068E"/>
    <w:rsid w:val="00C93814"/>
    <w:rsid w:val="00C93C4B"/>
    <w:rsid w:val="00C944AB"/>
    <w:rsid w:val="00C95B40"/>
    <w:rsid w:val="00CA1ED8"/>
    <w:rsid w:val="00CB1F63"/>
    <w:rsid w:val="00CB7170"/>
    <w:rsid w:val="00CC040E"/>
    <w:rsid w:val="00CC111F"/>
    <w:rsid w:val="00CC2011"/>
    <w:rsid w:val="00CC2D6C"/>
    <w:rsid w:val="00CC3EA0"/>
    <w:rsid w:val="00CC3F26"/>
    <w:rsid w:val="00CC7B45"/>
    <w:rsid w:val="00CD1188"/>
    <w:rsid w:val="00CD2708"/>
    <w:rsid w:val="00CD2ED1"/>
    <w:rsid w:val="00CD337B"/>
    <w:rsid w:val="00CD5E6F"/>
    <w:rsid w:val="00CE0424"/>
    <w:rsid w:val="00CE29F4"/>
    <w:rsid w:val="00CE3678"/>
    <w:rsid w:val="00CE7561"/>
    <w:rsid w:val="00CF1354"/>
    <w:rsid w:val="00CF22D3"/>
    <w:rsid w:val="00CF319B"/>
    <w:rsid w:val="00CF3B1F"/>
    <w:rsid w:val="00CF3BF6"/>
    <w:rsid w:val="00CF625B"/>
    <w:rsid w:val="00CF687E"/>
    <w:rsid w:val="00CF7131"/>
    <w:rsid w:val="00D02AF4"/>
    <w:rsid w:val="00D0349B"/>
    <w:rsid w:val="00D10249"/>
    <w:rsid w:val="00D115C3"/>
    <w:rsid w:val="00D11897"/>
    <w:rsid w:val="00D13135"/>
    <w:rsid w:val="00D13E4E"/>
    <w:rsid w:val="00D14DBC"/>
    <w:rsid w:val="00D14ED7"/>
    <w:rsid w:val="00D2142A"/>
    <w:rsid w:val="00D219CC"/>
    <w:rsid w:val="00D239A7"/>
    <w:rsid w:val="00D23F47"/>
    <w:rsid w:val="00D3006F"/>
    <w:rsid w:val="00D310CC"/>
    <w:rsid w:val="00D36E71"/>
    <w:rsid w:val="00D37D87"/>
    <w:rsid w:val="00D40B33"/>
    <w:rsid w:val="00D41AA7"/>
    <w:rsid w:val="00D4318F"/>
    <w:rsid w:val="00D438BF"/>
    <w:rsid w:val="00D440F8"/>
    <w:rsid w:val="00D44621"/>
    <w:rsid w:val="00D52CA9"/>
    <w:rsid w:val="00D546FF"/>
    <w:rsid w:val="00D5535A"/>
    <w:rsid w:val="00D55AD5"/>
    <w:rsid w:val="00D576CA"/>
    <w:rsid w:val="00D600A0"/>
    <w:rsid w:val="00D61AF5"/>
    <w:rsid w:val="00D647BE"/>
    <w:rsid w:val="00D651E8"/>
    <w:rsid w:val="00D652B5"/>
    <w:rsid w:val="00D66155"/>
    <w:rsid w:val="00D708B0"/>
    <w:rsid w:val="00D754A5"/>
    <w:rsid w:val="00D76052"/>
    <w:rsid w:val="00D77B1D"/>
    <w:rsid w:val="00D8021F"/>
    <w:rsid w:val="00D80383"/>
    <w:rsid w:val="00D8083E"/>
    <w:rsid w:val="00D822FB"/>
    <w:rsid w:val="00D823C6"/>
    <w:rsid w:val="00D8327F"/>
    <w:rsid w:val="00D84E4E"/>
    <w:rsid w:val="00D86CA3"/>
    <w:rsid w:val="00D871CE"/>
    <w:rsid w:val="00D90BFB"/>
    <w:rsid w:val="00D9196D"/>
    <w:rsid w:val="00D92035"/>
    <w:rsid w:val="00D92982"/>
    <w:rsid w:val="00DA305E"/>
    <w:rsid w:val="00DA31D6"/>
    <w:rsid w:val="00DA5417"/>
    <w:rsid w:val="00DA56E8"/>
    <w:rsid w:val="00DA6E36"/>
    <w:rsid w:val="00DB0A9F"/>
    <w:rsid w:val="00DB377D"/>
    <w:rsid w:val="00DC11AD"/>
    <w:rsid w:val="00DC2D36"/>
    <w:rsid w:val="00DC53EF"/>
    <w:rsid w:val="00DD1FB8"/>
    <w:rsid w:val="00DD2CC0"/>
    <w:rsid w:val="00DD4E05"/>
    <w:rsid w:val="00DD7E94"/>
    <w:rsid w:val="00DE5608"/>
    <w:rsid w:val="00DE58D0"/>
    <w:rsid w:val="00DE654F"/>
    <w:rsid w:val="00DF0B6E"/>
    <w:rsid w:val="00DF15E0"/>
    <w:rsid w:val="00DF37A0"/>
    <w:rsid w:val="00E1032B"/>
    <w:rsid w:val="00E110E7"/>
    <w:rsid w:val="00E11B20"/>
    <w:rsid w:val="00E12506"/>
    <w:rsid w:val="00E17FA2"/>
    <w:rsid w:val="00E22330"/>
    <w:rsid w:val="00E2447F"/>
    <w:rsid w:val="00E25619"/>
    <w:rsid w:val="00E30B5A"/>
    <w:rsid w:val="00E3123D"/>
    <w:rsid w:val="00E31461"/>
    <w:rsid w:val="00E31D43"/>
    <w:rsid w:val="00E32608"/>
    <w:rsid w:val="00E34188"/>
    <w:rsid w:val="00E34B6E"/>
    <w:rsid w:val="00E35559"/>
    <w:rsid w:val="00E3723A"/>
    <w:rsid w:val="00E37860"/>
    <w:rsid w:val="00E40C95"/>
    <w:rsid w:val="00E446F1"/>
    <w:rsid w:val="00E46886"/>
    <w:rsid w:val="00E47AEF"/>
    <w:rsid w:val="00E51252"/>
    <w:rsid w:val="00E514AF"/>
    <w:rsid w:val="00E518D2"/>
    <w:rsid w:val="00E5347A"/>
    <w:rsid w:val="00E537AB"/>
    <w:rsid w:val="00E53B75"/>
    <w:rsid w:val="00E54E3B"/>
    <w:rsid w:val="00E57565"/>
    <w:rsid w:val="00E63838"/>
    <w:rsid w:val="00E64434"/>
    <w:rsid w:val="00E67C51"/>
    <w:rsid w:val="00E72EFC"/>
    <w:rsid w:val="00E758EC"/>
    <w:rsid w:val="00E8234C"/>
    <w:rsid w:val="00E83AA9"/>
    <w:rsid w:val="00E85928"/>
    <w:rsid w:val="00E86469"/>
    <w:rsid w:val="00E87822"/>
    <w:rsid w:val="00E90395"/>
    <w:rsid w:val="00E90E49"/>
    <w:rsid w:val="00E917F9"/>
    <w:rsid w:val="00E9291C"/>
    <w:rsid w:val="00E93A5B"/>
    <w:rsid w:val="00E93FFE"/>
    <w:rsid w:val="00E94F8A"/>
    <w:rsid w:val="00E960FF"/>
    <w:rsid w:val="00E96E71"/>
    <w:rsid w:val="00EA0F13"/>
    <w:rsid w:val="00EA7A41"/>
    <w:rsid w:val="00EB077B"/>
    <w:rsid w:val="00EB4EA2"/>
    <w:rsid w:val="00EB7F62"/>
    <w:rsid w:val="00EC049D"/>
    <w:rsid w:val="00EC117A"/>
    <w:rsid w:val="00EC24D5"/>
    <w:rsid w:val="00EC27C6"/>
    <w:rsid w:val="00EC4207"/>
    <w:rsid w:val="00EC52AD"/>
    <w:rsid w:val="00EC5653"/>
    <w:rsid w:val="00EC71CE"/>
    <w:rsid w:val="00ED1006"/>
    <w:rsid w:val="00ED430E"/>
    <w:rsid w:val="00ED4659"/>
    <w:rsid w:val="00ED7386"/>
    <w:rsid w:val="00EE626C"/>
    <w:rsid w:val="00EF10E9"/>
    <w:rsid w:val="00EF18FE"/>
    <w:rsid w:val="00EF5787"/>
    <w:rsid w:val="00EF60D0"/>
    <w:rsid w:val="00F00744"/>
    <w:rsid w:val="00F03B99"/>
    <w:rsid w:val="00F0528D"/>
    <w:rsid w:val="00F06C67"/>
    <w:rsid w:val="00F06DFD"/>
    <w:rsid w:val="00F071D1"/>
    <w:rsid w:val="00F07533"/>
    <w:rsid w:val="00F10629"/>
    <w:rsid w:val="00F1523C"/>
    <w:rsid w:val="00F15FA5"/>
    <w:rsid w:val="00F209B7"/>
    <w:rsid w:val="00F2273E"/>
    <w:rsid w:val="00F2376F"/>
    <w:rsid w:val="00F243D8"/>
    <w:rsid w:val="00F30828"/>
    <w:rsid w:val="00F313D6"/>
    <w:rsid w:val="00F3155D"/>
    <w:rsid w:val="00F36640"/>
    <w:rsid w:val="00F40F0C"/>
    <w:rsid w:val="00F40FC5"/>
    <w:rsid w:val="00F444E5"/>
    <w:rsid w:val="00F461F7"/>
    <w:rsid w:val="00F46880"/>
    <w:rsid w:val="00F4766C"/>
    <w:rsid w:val="00F5060E"/>
    <w:rsid w:val="00F507D1"/>
    <w:rsid w:val="00F519CE"/>
    <w:rsid w:val="00F51ADA"/>
    <w:rsid w:val="00F52977"/>
    <w:rsid w:val="00F60203"/>
    <w:rsid w:val="00F607C5"/>
    <w:rsid w:val="00F60DEA"/>
    <w:rsid w:val="00F6302A"/>
    <w:rsid w:val="00F63950"/>
    <w:rsid w:val="00F64C2B"/>
    <w:rsid w:val="00F64C73"/>
    <w:rsid w:val="00F651BE"/>
    <w:rsid w:val="00F67F53"/>
    <w:rsid w:val="00F703BE"/>
    <w:rsid w:val="00F70ADB"/>
    <w:rsid w:val="00F71E9B"/>
    <w:rsid w:val="00F71F69"/>
    <w:rsid w:val="00F72B72"/>
    <w:rsid w:val="00F74BB9"/>
    <w:rsid w:val="00F75582"/>
    <w:rsid w:val="00F76EFA"/>
    <w:rsid w:val="00F804BE"/>
    <w:rsid w:val="00F817CE"/>
    <w:rsid w:val="00F81949"/>
    <w:rsid w:val="00F83EF7"/>
    <w:rsid w:val="00F8456C"/>
    <w:rsid w:val="00F859D8"/>
    <w:rsid w:val="00F868F5"/>
    <w:rsid w:val="00F9056A"/>
    <w:rsid w:val="00F90F8D"/>
    <w:rsid w:val="00F92782"/>
    <w:rsid w:val="00F93981"/>
    <w:rsid w:val="00F93AA9"/>
    <w:rsid w:val="00F96985"/>
    <w:rsid w:val="00F97838"/>
    <w:rsid w:val="00FA2BB3"/>
    <w:rsid w:val="00FA3590"/>
    <w:rsid w:val="00FB2049"/>
    <w:rsid w:val="00FB4C80"/>
    <w:rsid w:val="00FB6A6A"/>
    <w:rsid w:val="00FC1A68"/>
    <w:rsid w:val="00FC4517"/>
    <w:rsid w:val="00FC45C1"/>
    <w:rsid w:val="00FC702A"/>
    <w:rsid w:val="00FC7429"/>
    <w:rsid w:val="00FC7820"/>
    <w:rsid w:val="00FC79DA"/>
    <w:rsid w:val="00FD014D"/>
    <w:rsid w:val="00FD07F6"/>
    <w:rsid w:val="00FD1EC8"/>
    <w:rsid w:val="00FD334E"/>
    <w:rsid w:val="00FD3B54"/>
    <w:rsid w:val="00FD47ED"/>
    <w:rsid w:val="00FD653C"/>
    <w:rsid w:val="00FD6C2B"/>
    <w:rsid w:val="00FD74DB"/>
    <w:rsid w:val="00FD7660"/>
    <w:rsid w:val="00FE0655"/>
    <w:rsid w:val="00FE2365"/>
    <w:rsid w:val="00FE37D7"/>
    <w:rsid w:val="00FE3EFC"/>
    <w:rsid w:val="00FE4C7B"/>
    <w:rsid w:val="00FE5648"/>
    <w:rsid w:val="00FE7336"/>
    <w:rsid w:val="00FE787C"/>
    <w:rsid w:val="00FF084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0A6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90A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0A6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TALChar">
    <w:name w:val="TAL Char"/>
    <w:qFormat/>
    <w:locked/>
    <w:rsid w:val="00207413"/>
    <w:rPr>
      <w:rFonts w:ascii="Arial" w:hAnsi="Arial" w:cs="Arial"/>
      <w:sz w:val="18"/>
      <w:lang w:eastAsia="en-US"/>
    </w:rPr>
  </w:style>
  <w:style w:type="paragraph" w:customStyle="1" w:styleId="Default">
    <w:name w:val="Default"/>
    <w:rsid w:val="0020741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semiHidden/>
    <w:rsid w:val="007964BF"/>
    <w:rPr>
      <w:rFonts w:asciiTheme="minorHAnsi" w:eastAsiaTheme="minorHAnsi" w:hAnsiTheme="minorHAnsi" w:cstheme="minorBidi"/>
      <w:sz w:val="22"/>
      <w:szCs w:val="22"/>
      <w:lang w:val="en-US" w:eastAsia="en-US"/>
    </w:rPr>
  </w:style>
  <w:style w:type="character" w:styleId="UnresolvedMention">
    <w:name w:val="Unresolved Mention"/>
    <w:basedOn w:val="DefaultParagraphFont"/>
    <w:uiPriority w:val="99"/>
    <w:unhideWhenUsed/>
    <w:rsid w:val="00C43902"/>
    <w:rPr>
      <w:color w:val="605E5C"/>
      <w:shd w:val="clear" w:color="auto" w:fill="E1DFDD"/>
    </w:rPr>
  </w:style>
  <w:style w:type="character" w:styleId="Mention">
    <w:name w:val="Mention"/>
    <w:basedOn w:val="DefaultParagraphFont"/>
    <w:uiPriority w:val="99"/>
    <w:unhideWhenUsed/>
    <w:rsid w:val="00C43902"/>
    <w:rPr>
      <w:color w:val="2B579A"/>
      <w:shd w:val="clear" w:color="auto" w:fill="E1DFDD"/>
    </w:rPr>
  </w:style>
  <w:style w:type="character" w:customStyle="1" w:styleId="B1Zchn">
    <w:name w:val="B1 Zchn"/>
    <w:qFormat/>
    <w:rsid w:val="00A13D3F"/>
    <w:rPr>
      <w:lang w:eastAsia="en-US"/>
    </w:rPr>
  </w:style>
  <w:style w:type="character" w:styleId="PlaceholderText">
    <w:name w:val="Placeholder Text"/>
    <w:basedOn w:val="DefaultParagraphFont"/>
    <w:uiPriority w:val="99"/>
    <w:semiHidden/>
    <w:rsid w:val="00BB7CDC"/>
    <w:rPr>
      <w:color w:val="808080"/>
    </w:rPr>
  </w:style>
  <w:style w:type="character" w:customStyle="1" w:styleId="TACChar">
    <w:name w:val="TAC Char"/>
    <w:link w:val="TAC"/>
    <w:qFormat/>
    <w:locked/>
    <w:rsid w:val="00FC7820"/>
    <w:rPr>
      <w:rFonts w:ascii="Arial" w:eastAsiaTheme="minorHAnsi" w:hAnsi="Arial" w:cstheme="minorBidi"/>
      <w:sz w:val="18"/>
      <w:szCs w:val="22"/>
      <w:lang w:val="x-none" w:eastAsia="x-none"/>
    </w:rPr>
  </w:style>
  <w:style w:type="character" w:customStyle="1" w:styleId="B3Char">
    <w:name w:val="B3 Char"/>
    <w:locked/>
    <w:rsid w:val="00FC7820"/>
    <w:rPr>
      <w:lang w:eastAsia="en-US"/>
    </w:rPr>
  </w:style>
  <w:style w:type="character" w:customStyle="1" w:styleId="colour">
    <w:name w:val="colour"/>
    <w:basedOn w:val="DefaultParagraphFont"/>
    <w:rsid w:val="00FC7820"/>
  </w:style>
  <w:style w:type="character" w:customStyle="1" w:styleId="apple-converted-space">
    <w:name w:val="apple-converted-space"/>
    <w:basedOn w:val="DefaultParagraphFont"/>
    <w:qFormat/>
    <w:rsid w:val="00FC7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31674">
      <w:bodyDiv w:val="1"/>
      <w:marLeft w:val="0"/>
      <w:marRight w:val="0"/>
      <w:marTop w:val="0"/>
      <w:marBottom w:val="0"/>
      <w:divBdr>
        <w:top w:val="none" w:sz="0" w:space="0" w:color="auto"/>
        <w:left w:val="none" w:sz="0" w:space="0" w:color="auto"/>
        <w:bottom w:val="none" w:sz="0" w:space="0" w:color="auto"/>
        <w:right w:val="none" w:sz="0" w:space="0" w:color="auto"/>
      </w:divBdr>
    </w:div>
    <w:div w:id="57947696">
      <w:bodyDiv w:val="1"/>
      <w:marLeft w:val="0"/>
      <w:marRight w:val="0"/>
      <w:marTop w:val="0"/>
      <w:marBottom w:val="0"/>
      <w:divBdr>
        <w:top w:val="none" w:sz="0" w:space="0" w:color="auto"/>
        <w:left w:val="none" w:sz="0" w:space="0" w:color="auto"/>
        <w:bottom w:val="none" w:sz="0" w:space="0" w:color="auto"/>
        <w:right w:val="none" w:sz="0" w:space="0" w:color="auto"/>
      </w:divBdr>
    </w:div>
    <w:div w:id="77095626">
      <w:bodyDiv w:val="1"/>
      <w:marLeft w:val="0"/>
      <w:marRight w:val="0"/>
      <w:marTop w:val="0"/>
      <w:marBottom w:val="0"/>
      <w:divBdr>
        <w:top w:val="none" w:sz="0" w:space="0" w:color="auto"/>
        <w:left w:val="none" w:sz="0" w:space="0" w:color="auto"/>
        <w:bottom w:val="none" w:sz="0" w:space="0" w:color="auto"/>
        <w:right w:val="none" w:sz="0" w:space="0" w:color="auto"/>
      </w:divBdr>
    </w:div>
    <w:div w:id="77794804">
      <w:bodyDiv w:val="1"/>
      <w:marLeft w:val="0"/>
      <w:marRight w:val="0"/>
      <w:marTop w:val="0"/>
      <w:marBottom w:val="0"/>
      <w:divBdr>
        <w:top w:val="none" w:sz="0" w:space="0" w:color="auto"/>
        <w:left w:val="none" w:sz="0" w:space="0" w:color="auto"/>
        <w:bottom w:val="none" w:sz="0" w:space="0" w:color="auto"/>
        <w:right w:val="none" w:sz="0" w:space="0" w:color="auto"/>
      </w:divBdr>
    </w:div>
    <w:div w:id="93405179">
      <w:bodyDiv w:val="1"/>
      <w:marLeft w:val="0"/>
      <w:marRight w:val="0"/>
      <w:marTop w:val="0"/>
      <w:marBottom w:val="0"/>
      <w:divBdr>
        <w:top w:val="none" w:sz="0" w:space="0" w:color="auto"/>
        <w:left w:val="none" w:sz="0" w:space="0" w:color="auto"/>
        <w:bottom w:val="none" w:sz="0" w:space="0" w:color="auto"/>
        <w:right w:val="none" w:sz="0" w:space="0" w:color="auto"/>
      </w:divBdr>
    </w:div>
    <w:div w:id="126049823">
      <w:bodyDiv w:val="1"/>
      <w:marLeft w:val="0"/>
      <w:marRight w:val="0"/>
      <w:marTop w:val="0"/>
      <w:marBottom w:val="0"/>
      <w:divBdr>
        <w:top w:val="none" w:sz="0" w:space="0" w:color="auto"/>
        <w:left w:val="none" w:sz="0" w:space="0" w:color="auto"/>
        <w:bottom w:val="none" w:sz="0" w:space="0" w:color="auto"/>
        <w:right w:val="none" w:sz="0" w:space="0" w:color="auto"/>
      </w:divBdr>
    </w:div>
    <w:div w:id="139468850">
      <w:bodyDiv w:val="1"/>
      <w:marLeft w:val="0"/>
      <w:marRight w:val="0"/>
      <w:marTop w:val="0"/>
      <w:marBottom w:val="0"/>
      <w:divBdr>
        <w:top w:val="none" w:sz="0" w:space="0" w:color="auto"/>
        <w:left w:val="none" w:sz="0" w:space="0" w:color="auto"/>
        <w:bottom w:val="none" w:sz="0" w:space="0" w:color="auto"/>
        <w:right w:val="none" w:sz="0" w:space="0" w:color="auto"/>
      </w:divBdr>
    </w:div>
    <w:div w:id="182287597">
      <w:bodyDiv w:val="1"/>
      <w:marLeft w:val="0"/>
      <w:marRight w:val="0"/>
      <w:marTop w:val="0"/>
      <w:marBottom w:val="0"/>
      <w:divBdr>
        <w:top w:val="none" w:sz="0" w:space="0" w:color="auto"/>
        <w:left w:val="none" w:sz="0" w:space="0" w:color="auto"/>
        <w:bottom w:val="none" w:sz="0" w:space="0" w:color="auto"/>
        <w:right w:val="none" w:sz="0" w:space="0" w:color="auto"/>
      </w:divBdr>
    </w:div>
    <w:div w:id="204950838">
      <w:bodyDiv w:val="1"/>
      <w:marLeft w:val="0"/>
      <w:marRight w:val="0"/>
      <w:marTop w:val="0"/>
      <w:marBottom w:val="0"/>
      <w:divBdr>
        <w:top w:val="none" w:sz="0" w:space="0" w:color="auto"/>
        <w:left w:val="none" w:sz="0" w:space="0" w:color="auto"/>
        <w:bottom w:val="none" w:sz="0" w:space="0" w:color="auto"/>
        <w:right w:val="none" w:sz="0" w:space="0" w:color="auto"/>
      </w:divBdr>
    </w:div>
    <w:div w:id="338696106">
      <w:bodyDiv w:val="1"/>
      <w:marLeft w:val="0"/>
      <w:marRight w:val="0"/>
      <w:marTop w:val="0"/>
      <w:marBottom w:val="0"/>
      <w:divBdr>
        <w:top w:val="none" w:sz="0" w:space="0" w:color="auto"/>
        <w:left w:val="none" w:sz="0" w:space="0" w:color="auto"/>
        <w:bottom w:val="none" w:sz="0" w:space="0" w:color="auto"/>
        <w:right w:val="none" w:sz="0" w:space="0" w:color="auto"/>
      </w:divBdr>
    </w:div>
    <w:div w:id="359013978">
      <w:bodyDiv w:val="1"/>
      <w:marLeft w:val="0"/>
      <w:marRight w:val="0"/>
      <w:marTop w:val="0"/>
      <w:marBottom w:val="0"/>
      <w:divBdr>
        <w:top w:val="none" w:sz="0" w:space="0" w:color="auto"/>
        <w:left w:val="none" w:sz="0" w:space="0" w:color="auto"/>
        <w:bottom w:val="none" w:sz="0" w:space="0" w:color="auto"/>
        <w:right w:val="none" w:sz="0" w:space="0" w:color="auto"/>
      </w:divBdr>
    </w:div>
    <w:div w:id="648748614">
      <w:bodyDiv w:val="1"/>
      <w:marLeft w:val="0"/>
      <w:marRight w:val="0"/>
      <w:marTop w:val="0"/>
      <w:marBottom w:val="0"/>
      <w:divBdr>
        <w:top w:val="none" w:sz="0" w:space="0" w:color="auto"/>
        <w:left w:val="none" w:sz="0" w:space="0" w:color="auto"/>
        <w:bottom w:val="none" w:sz="0" w:space="0" w:color="auto"/>
        <w:right w:val="none" w:sz="0" w:space="0" w:color="auto"/>
      </w:divBdr>
    </w:div>
    <w:div w:id="659238623">
      <w:bodyDiv w:val="1"/>
      <w:marLeft w:val="0"/>
      <w:marRight w:val="0"/>
      <w:marTop w:val="0"/>
      <w:marBottom w:val="0"/>
      <w:divBdr>
        <w:top w:val="none" w:sz="0" w:space="0" w:color="auto"/>
        <w:left w:val="none" w:sz="0" w:space="0" w:color="auto"/>
        <w:bottom w:val="none" w:sz="0" w:space="0" w:color="auto"/>
        <w:right w:val="none" w:sz="0" w:space="0" w:color="auto"/>
      </w:divBdr>
    </w:div>
    <w:div w:id="684281593">
      <w:bodyDiv w:val="1"/>
      <w:marLeft w:val="0"/>
      <w:marRight w:val="0"/>
      <w:marTop w:val="0"/>
      <w:marBottom w:val="0"/>
      <w:divBdr>
        <w:top w:val="none" w:sz="0" w:space="0" w:color="auto"/>
        <w:left w:val="none" w:sz="0" w:space="0" w:color="auto"/>
        <w:bottom w:val="none" w:sz="0" w:space="0" w:color="auto"/>
        <w:right w:val="none" w:sz="0" w:space="0" w:color="auto"/>
      </w:divBdr>
    </w:div>
    <w:div w:id="714156279">
      <w:bodyDiv w:val="1"/>
      <w:marLeft w:val="0"/>
      <w:marRight w:val="0"/>
      <w:marTop w:val="0"/>
      <w:marBottom w:val="0"/>
      <w:divBdr>
        <w:top w:val="none" w:sz="0" w:space="0" w:color="auto"/>
        <w:left w:val="none" w:sz="0" w:space="0" w:color="auto"/>
        <w:bottom w:val="none" w:sz="0" w:space="0" w:color="auto"/>
        <w:right w:val="none" w:sz="0" w:space="0" w:color="auto"/>
      </w:divBdr>
    </w:div>
    <w:div w:id="734006619">
      <w:bodyDiv w:val="1"/>
      <w:marLeft w:val="0"/>
      <w:marRight w:val="0"/>
      <w:marTop w:val="0"/>
      <w:marBottom w:val="0"/>
      <w:divBdr>
        <w:top w:val="none" w:sz="0" w:space="0" w:color="auto"/>
        <w:left w:val="none" w:sz="0" w:space="0" w:color="auto"/>
        <w:bottom w:val="none" w:sz="0" w:space="0" w:color="auto"/>
        <w:right w:val="none" w:sz="0" w:space="0" w:color="auto"/>
      </w:divBdr>
    </w:div>
    <w:div w:id="776291570">
      <w:bodyDiv w:val="1"/>
      <w:marLeft w:val="0"/>
      <w:marRight w:val="0"/>
      <w:marTop w:val="0"/>
      <w:marBottom w:val="0"/>
      <w:divBdr>
        <w:top w:val="none" w:sz="0" w:space="0" w:color="auto"/>
        <w:left w:val="none" w:sz="0" w:space="0" w:color="auto"/>
        <w:bottom w:val="none" w:sz="0" w:space="0" w:color="auto"/>
        <w:right w:val="none" w:sz="0" w:space="0" w:color="auto"/>
      </w:divBdr>
    </w:div>
    <w:div w:id="784423548">
      <w:bodyDiv w:val="1"/>
      <w:marLeft w:val="0"/>
      <w:marRight w:val="0"/>
      <w:marTop w:val="0"/>
      <w:marBottom w:val="0"/>
      <w:divBdr>
        <w:top w:val="none" w:sz="0" w:space="0" w:color="auto"/>
        <w:left w:val="none" w:sz="0" w:space="0" w:color="auto"/>
        <w:bottom w:val="none" w:sz="0" w:space="0" w:color="auto"/>
        <w:right w:val="none" w:sz="0" w:space="0" w:color="auto"/>
      </w:divBdr>
    </w:div>
    <w:div w:id="788863711">
      <w:bodyDiv w:val="1"/>
      <w:marLeft w:val="0"/>
      <w:marRight w:val="0"/>
      <w:marTop w:val="0"/>
      <w:marBottom w:val="0"/>
      <w:divBdr>
        <w:top w:val="none" w:sz="0" w:space="0" w:color="auto"/>
        <w:left w:val="none" w:sz="0" w:space="0" w:color="auto"/>
        <w:bottom w:val="none" w:sz="0" w:space="0" w:color="auto"/>
        <w:right w:val="none" w:sz="0" w:space="0" w:color="auto"/>
      </w:divBdr>
    </w:div>
    <w:div w:id="805270612">
      <w:bodyDiv w:val="1"/>
      <w:marLeft w:val="0"/>
      <w:marRight w:val="0"/>
      <w:marTop w:val="0"/>
      <w:marBottom w:val="0"/>
      <w:divBdr>
        <w:top w:val="none" w:sz="0" w:space="0" w:color="auto"/>
        <w:left w:val="none" w:sz="0" w:space="0" w:color="auto"/>
        <w:bottom w:val="none" w:sz="0" w:space="0" w:color="auto"/>
        <w:right w:val="none" w:sz="0" w:space="0" w:color="auto"/>
      </w:divBdr>
    </w:div>
    <w:div w:id="814957631">
      <w:bodyDiv w:val="1"/>
      <w:marLeft w:val="0"/>
      <w:marRight w:val="0"/>
      <w:marTop w:val="0"/>
      <w:marBottom w:val="0"/>
      <w:divBdr>
        <w:top w:val="none" w:sz="0" w:space="0" w:color="auto"/>
        <w:left w:val="none" w:sz="0" w:space="0" w:color="auto"/>
        <w:bottom w:val="none" w:sz="0" w:space="0" w:color="auto"/>
        <w:right w:val="none" w:sz="0" w:space="0" w:color="auto"/>
      </w:divBdr>
    </w:div>
    <w:div w:id="952437869">
      <w:bodyDiv w:val="1"/>
      <w:marLeft w:val="0"/>
      <w:marRight w:val="0"/>
      <w:marTop w:val="0"/>
      <w:marBottom w:val="0"/>
      <w:divBdr>
        <w:top w:val="none" w:sz="0" w:space="0" w:color="auto"/>
        <w:left w:val="none" w:sz="0" w:space="0" w:color="auto"/>
        <w:bottom w:val="none" w:sz="0" w:space="0" w:color="auto"/>
        <w:right w:val="none" w:sz="0" w:space="0" w:color="auto"/>
      </w:divBdr>
    </w:div>
    <w:div w:id="1003553379">
      <w:bodyDiv w:val="1"/>
      <w:marLeft w:val="0"/>
      <w:marRight w:val="0"/>
      <w:marTop w:val="0"/>
      <w:marBottom w:val="0"/>
      <w:divBdr>
        <w:top w:val="none" w:sz="0" w:space="0" w:color="auto"/>
        <w:left w:val="none" w:sz="0" w:space="0" w:color="auto"/>
        <w:bottom w:val="none" w:sz="0" w:space="0" w:color="auto"/>
        <w:right w:val="none" w:sz="0" w:space="0" w:color="auto"/>
      </w:divBdr>
    </w:div>
    <w:div w:id="1054432336">
      <w:bodyDiv w:val="1"/>
      <w:marLeft w:val="0"/>
      <w:marRight w:val="0"/>
      <w:marTop w:val="0"/>
      <w:marBottom w:val="0"/>
      <w:divBdr>
        <w:top w:val="none" w:sz="0" w:space="0" w:color="auto"/>
        <w:left w:val="none" w:sz="0" w:space="0" w:color="auto"/>
        <w:bottom w:val="none" w:sz="0" w:space="0" w:color="auto"/>
        <w:right w:val="none" w:sz="0" w:space="0" w:color="auto"/>
      </w:divBdr>
    </w:div>
    <w:div w:id="1166748535">
      <w:bodyDiv w:val="1"/>
      <w:marLeft w:val="0"/>
      <w:marRight w:val="0"/>
      <w:marTop w:val="0"/>
      <w:marBottom w:val="0"/>
      <w:divBdr>
        <w:top w:val="none" w:sz="0" w:space="0" w:color="auto"/>
        <w:left w:val="none" w:sz="0" w:space="0" w:color="auto"/>
        <w:bottom w:val="none" w:sz="0" w:space="0" w:color="auto"/>
        <w:right w:val="none" w:sz="0" w:space="0" w:color="auto"/>
      </w:divBdr>
    </w:div>
    <w:div w:id="1173033591">
      <w:bodyDiv w:val="1"/>
      <w:marLeft w:val="0"/>
      <w:marRight w:val="0"/>
      <w:marTop w:val="0"/>
      <w:marBottom w:val="0"/>
      <w:divBdr>
        <w:top w:val="none" w:sz="0" w:space="0" w:color="auto"/>
        <w:left w:val="none" w:sz="0" w:space="0" w:color="auto"/>
        <w:bottom w:val="none" w:sz="0" w:space="0" w:color="auto"/>
        <w:right w:val="none" w:sz="0" w:space="0" w:color="auto"/>
      </w:divBdr>
    </w:div>
    <w:div w:id="1260454954">
      <w:bodyDiv w:val="1"/>
      <w:marLeft w:val="0"/>
      <w:marRight w:val="0"/>
      <w:marTop w:val="0"/>
      <w:marBottom w:val="0"/>
      <w:divBdr>
        <w:top w:val="none" w:sz="0" w:space="0" w:color="auto"/>
        <w:left w:val="none" w:sz="0" w:space="0" w:color="auto"/>
        <w:bottom w:val="none" w:sz="0" w:space="0" w:color="auto"/>
        <w:right w:val="none" w:sz="0" w:space="0" w:color="auto"/>
      </w:divBdr>
    </w:div>
    <w:div w:id="1361206505">
      <w:bodyDiv w:val="1"/>
      <w:marLeft w:val="0"/>
      <w:marRight w:val="0"/>
      <w:marTop w:val="0"/>
      <w:marBottom w:val="0"/>
      <w:divBdr>
        <w:top w:val="none" w:sz="0" w:space="0" w:color="auto"/>
        <w:left w:val="none" w:sz="0" w:space="0" w:color="auto"/>
        <w:bottom w:val="none" w:sz="0" w:space="0" w:color="auto"/>
        <w:right w:val="none" w:sz="0" w:space="0" w:color="auto"/>
      </w:divBdr>
    </w:div>
    <w:div w:id="1547181100">
      <w:bodyDiv w:val="1"/>
      <w:marLeft w:val="0"/>
      <w:marRight w:val="0"/>
      <w:marTop w:val="0"/>
      <w:marBottom w:val="0"/>
      <w:divBdr>
        <w:top w:val="none" w:sz="0" w:space="0" w:color="auto"/>
        <w:left w:val="none" w:sz="0" w:space="0" w:color="auto"/>
        <w:bottom w:val="none" w:sz="0" w:space="0" w:color="auto"/>
        <w:right w:val="none" w:sz="0" w:space="0" w:color="auto"/>
      </w:divBdr>
    </w:div>
    <w:div w:id="1564635184">
      <w:bodyDiv w:val="1"/>
      <w:marLeft w:val="0"/>
      <w:marRight w:val="0"/>
      <w:marTop w:val="0"/>
      <w:marBottom w:val="0"/>
      <w:divBdr>
        <w:top w:val="none" w:sz="0" w:space="0" w:color="auto"/>
        <w:left w:val="none" w:sz="0" w:space="0" w:color="auto"/>
        <w:bottom w:val="none" w:sz="0" w:space="0" w:color="auto"/>
        <w:right w:val="none" w:sz="0" w:space="0" w:color="auto"/>
      </w:divBdr>
    </w:div>
    <w:div w:id="1575506379">
      <w:bodyDiv w:val="1"/>
      <w:marLeft w:val="0"/>
      <w:marRight w:val="0"/>
      <w:marTop w:val="0"/>
      <w:marBottom w:val="0"/>
      <w:divBdr>
        <w:top w:val="none" w:sz="0" w:space="0" w:color="auto"/>
        <w:left w:val="none" w:sz="0" w:space="0" w:color="auto"/>
        <w:bottom w:val="none" w:sz="0" w:space="0" w:color="auto"/>
        <w:right w:val="none" w:sz="0" w:space="0" w:color="auto"/>
      </w:divBdr>
    </w:div>
    <w:div w:id="1626541773">
      <w:bodyDiv w:val="1"/>
      <w:marLeft w:val="0"/>
      <w:marRight w:val="0"/>
      <w:marTop w:val="0"/>
      <w:marBottom w:val="0"/>
      <w:divBdr>
        <w:top w:val="none" w:sz="0" w:space="0" w:color="auto"/>
        <w:left w:val="none" w:sz="0" w:space="0" w:color="auto"/>
        <w:bottom w:val="none" w:sz="0" w:space="0" w:color="auto"/>
        <w:right w:val="none" w:sz="0" w:space="0" w:color="auto"/>
      </w:divBdr>
    </w:div>
    <w:div w:id="1636258619">
      <w:bodyDiv w:val="1"/>
      <w:marLeft w:val="0"/>
      <w:marRight w:val="0"/>
      <w:marTop w:val="0"/>
      <w:marBottom w:val="0"/>
      <w:divBdr>
        <w:top w:val="none" w:sz="0" w:space="0" w:color="auto"/>
        <w:left w:val="none" w:sz="0" w:space="0" w:color="auto"/>
        <w:bottom w:val="none" w:sz="0" w:space="0" w:color="auto"/>
        <w:right w:val="none" w:sz="0" w:space="0" w:color="auto"/>
      </w:divBdr>
    </w:div>
    <w:div w:id="1934631172">
      <w:bodyDiv w:val="1"/>
      <w:marLeft w:val="0"/>
      <w:marRight w:val="0"/>
      <w:marTop w:val="0"/>
      <w:marBottom w:val="0"/>
      <w:divBdr>
        <w:top w:val="none" w:sz="0" w:space="0" w:color="auto"/>
        <w:left w:val="none" w:sz="0" w:space="0" w:color="auto"/>
        <w:bottom w:val="none" w:sz="0" w:space="0" w:color="auto"/>
        <w:right w:val="none" w:sz="0" w:space="0" w:color="auto"/>
      </w:divBdr>
    </w:div>
    <w:div w:id="1964338883">
      <w:bodyDiv w:val="1"/>
      <w:marLeft w:val="0"/>
      <w:marRight w:val="0"/>
      <w:marTop w:val="0"/>
      <w:marBottom w:val="0"/>
      <w:divBdr>
        <w:top w:val="none" w:sz="0" w:space="0" w:color="auto"/>
        <w:left w:val="none" w:sz="0" w:space="0" w:color="auto"/>
        <w:bottom w:val="none" w:sz="0" w:space="0" w:color="auto"/>
        <w:right w:val="none" w:sz="0" w:space="0" w:color="auto"/>
      </w:divBdr>
    </w:div>
    <w:div w:id="2024354913">
      <w:bodyDiv w:val="1"/>
      <w:marLeft w:val="0"/>
      <w:marRight w:val="0"/>
      <w:marTop w:val="0"/>
      <w:marBottom w:val="0"/>
      <w:divBdr>
        <w:top w:val="none" w:sz="0" w:space="0" w:color="auto"/>
        <w:left w:val="none" w:sz="0" w:space="0" w:color="auto"/>
        <w:bottom w:val="none" w:sz="0" w:space="0" w:color="auto"/>
        <w:right w:val="none" w:sz="0" w:space="0" w:color="auto"/>
      </w:divBdr>
    </w:div>
    <w:div w:id="206471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59086451-0955-4968-B9AE-B504BD6F1195}"/>
</file>

<file path=customXml/itemProps4.xml><?xml version="1.0" encoding="utf-8"?>
<ds:datastoreItem xmlns:ds="http://schemas.openxmlformats.org/officeDocument/2006/customXml" ds:itemID="{D8EDC7DE-AA24-4A8C-B210-E56C400A5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2822</TotalTime>
  <Pages>14</Pages>
  <Words>5222</Words>
  <Characters>27988</Characters>
  <Application>Microsoft Office Word</Application>
  <DocSecurity>0</DocSecurity>
  <Lines>233</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33144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160</cp:revision>
  <cp:lastPrinted>2008-01-31T07:09:00Z</cp:lastPrinted>
  <dcterms:created xsi:type="dcterms:W3CDTF">2020-01-22T23:23:00Z</dcterms:created>
  <dcterms:modified xsi:type="dcterms:W3CDTF">2020-05-16T02:31:00Z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